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Une crise économique aujourd'hui ? Qu'enseigne-t-on à ce propos, et comment ? L'exemple des Sciences Économiques et Sociales en France.</w:t>
      </w:r>
    </w:p>
    <w:p>
      <w:pPr>
        <w:pStyle w:val="Normal"/>
        <w:rPr/>
      </w:pPr>
      <w:r>
        <w:rPr/>
      </w:r>
    </w:p>
    <w:p>
      <w:pPr>
        <w:pStyle w:val="Normal"/>
        <w:rPr/>
      </w:pPr>
      <w:r>
        <w:rPr/>
      </w:r>
    </w:p>
    <w:p>
      <w:pPr>
        <w:pStyle w:val="Normal"/>
        <w:rPr/>
      </w:pPr>
      <w:r>
        <w:rPr/>
      </w:r>
    </w:p>
    <w:p>
      <w:pPr>
        <w:pStyle w:val="Normal"/>
        <w:jc w:val="right"/>
        <w:rPr/>
      </w:pPr>
      <w:r>
        <w:rPr/>
        <w:t>Hervé Blanchard</w:t>
      </w:r>
      <w:r>
        <w:rPr>
          <w:rStyle w:val="Ancredenotedebasdepage"/>
        </w:rPr>
        <w:footnoteReference w:id="2"/>
      </w:r>
      <w:r>
        <w:rPr/>
        <w:t xml:space="preserve"> et Yves-Patrick Coléno</w:t>
      </w:r>
      <w:r>
        <w:rPr>
          <w:rStyle w:val="Ancredenotedebasdepage"/>
        </w:rPr>
        <w:footnoteReference w:id="3"/>
      </w:r>
      <w:r>
        <w:rPr/>
        <w:t>, Université de Perpignan, France</w:t>
      </w:r>
    </w:p>
    <w:p>
      <w:pPr>
        <w:pStyle w:val="Normal"/>
        <w:rPr/>
      </w:pPr>
      <w:r>
        <w:rPr/>
      </w:r>
    </w:p>
    <w:p>
      <w:pPr>
        <w:pStyle w:val="Normal"/>
        <w:jc w:val="both"/>
        <w:rPr/>
      </w:pPr>
      <w:r>
        <w:rPr>
          <w:b/>
          <w:bCs/>
          <w:color w:val="000000"/>
        </w:rPr>
        <w:t>Résumé</w:t>
      </w:r>
    </w:p>
    <w:p>
      <w:pPr>
        <w:pStyle w:val="Normal"/>
        <w:rPr>
          <w:color w:val="000000"/>
        </w:rPr>
      </w:pPr>
      <w:r>
        <w:rPr>
          <w:color w:val="000000"/>
        </w:rPr>
      </w:r>
    </w:p>
    <w:p>
      <w:pPr>
        <w:pStyle w:val="Normal"/>
        <w:jc w:val="both"/>
        <w:rPr/>
      </w:pPr>
      <w:r>
        <w:rPr>
          <w:color w:val="000000"/>
        </w:rPr>
        <w:t>En France au lycée la discipline « Sciences Économiques et Sociales » traite de la crise économique actuelle. Nous étudions de quelle façon elle est enseignée : quels mots, quels schémas explicatifs. Nous utilisons une approche spécifique, appelée « holisme sémantique », qui conçoit les contenus disciplinaires comme le produit d’un double processus de didactisation et d’axiologisation du savoir de référence. Cela implique de relier ces contenus au système de valeurs de la société et, en particulier, au lexique, ensemble de mots-clés par lequel il convient de penser et de parler à un moment donné.  L’analyse part de l’examen des programmes de SES et de ressources d’enseignement pour cette discipline, et conduit à souligner la prédominance des références à l’économie standard, mais cette prédominance ne peut être justifiée par l’état de la connaissance scientifique. Nous montrons au contraire un effet de lexique : les notions-clés de la discipline ont été choisies en conformité avec les mots-clés du lexique. C’est pourquoi les contenus proposés  paraissent bien loin de l'objectif de comprendre les grands enjeux en question aujourd’hui. De nouvelles recherches doivent alors se concentrer sur les façons d’enseigner la crise malgré le lexique à l’</w:t>
      </w:r>
      <w:r>
        <w:rPr>
          <w:rFonts w:cs="Liberation Serif;Times New Roman" w:ascii="Liberation Serif;Times New Roman" w:hAnsi="Liberation Serif;Times New Roman"/>
          <w:color w:val="000000"/>
        </w:rPr>
        <w:t>œ</w:t>
      </w:r>
      <w:r>
        <w:rPr>
          <w:color w:val="000000"/>
        </w:rPr>
        <w:t>uvre.</w:t>
      </w:r>
    </w:p>
    <w:p>
      <w:pPr>
        <w:pStyle w:val="Normal"/>
        <w:jc w:val="both"/>
        <w:rPr>
          <w:color w:val="000000"/>
        </w:rPr>
      </w:pPr>
      <w:r>
        <w:rPr>
          <w:color w:val="000000"/>
        </w:rPr>
      </w:r>
    </w:p>
    <w:p>
      <w:pPr>
        <w:pStyle w:val="DefaultText"/>
        <w:jc w:val="both"/>
        <w:rPr/>
      </w:pPr>
      <w:r>
        <w:rPr>
          <w:b/>
          <w:bCs/>
          <w:color w:val="000000"/>
          <w:lang w:val="en-GB"/>
        </w:rPr>
        <w:t>Mots-clés</w:t>
      </w:r>
      <w:r>
        <w:rPr>
          <w:color w:val="000000"/>
          <w:lang w:val="en-GB"/>
        </w:rPr>
        <w:t xml:space="preserve"> :</w:t>
      </w:r>
    </w:p>
    <w:p>
      <w:pPr>
        <w:pStyle w:val="DefaultText"/>
        <w:jc w:val="both"/>
        <w:rPr>
          <w:color w:val="000000"/>
          <w:lang w:val="en-GB"/>
        </w:rPr>
      </w:pPr>
      <w:r>
        <w:rPr>
          <w:color w:val="000000"/>
          <w:lang w:val="en-GB"/>
        </w:rPr>
      </w:r>
    </w:p>
    <w:p>
      <w:pPr>
        <w:pStyle w:val="Normal"/>
        <w:spacing w:lineRule="atLeast" w:line="100"/>
        <w:jc w:val="both"/>
        <w:rPr>
          <w:lang w:val="fr-FR" w:eastAsia="zh-CN" w:bidi="ar-SA"/>
        </w:rPr>
      </w:pPr>
      <w:r>
        <w:rPr>
          <w:color w:val="000000"/>
          <w:lang w:val="fr-FR" w:eastAsia="zh-CN" w:bidi="ar-SA"/>
        </w:rPr>
        <w:t>Économie,</w:t>
      </w:r>
      <w:r>
        <w:rPr>
          <w:color w:val="000000"/>
          <w:lang w:val="fr-FR" w:eastAsia="zh-CN" w:bidi="ar-SA"/>
        </w:rPr>
        <w:t xml:space="preserve"> didacti</w:t>
      </w:r>
      <w:r>
        <w:rPr>
          <w:color w:val="000000"/>
          <w:lang w:val="fr-FR" w:eastAsia="zh-CN" w:bidi="ar-SA"/>
        </w:rPr>
        <w:t>que</w:t>
      </w:r>
      <w:r>
        <w:rPr>
          <w:color w:val="000000"/>
          <w:lang w:val="fr-FR" w:eastAsia="zh-CN" w:bidi="ar-SA"/>
        </w:rPr>
        <w:t>, cris</w:t>
      </w:r>
      <w:r>
        <w:rPr>
          <w:color w:val="000000"/>
          <w:lang w:val="fr-FR" w:eastAsia="zh-CN" w:bidi="ar-SA"/>
        </w:rPr>
        <w:t>e</w:t>
      </w:r>
      <w:r>
        <w:rPr>
          <w:color w:val="000000"/>
          <w:lang w:val="fr-FR" w:eastAsia="zh-CN" w:bidi="ar-SA"/>
        </w:rPr>
        <w:t xml:space="preserve">, </w:t>
      </w:r>
      <w:r>
        <w:rPr>
          <w:color w:val="000000"/>
          <w:lang w:val="fr-FR" w:eastAsia="zh-CN" w:bidi="ar-SA"/>
        </w:rPr>
        <w:t>contenus disciplinaires</w:t>
      </w:r>
      <w:r>
        <w:rPr>
          <w:color w:val="000000"/>
          <w:lang w:val="fr-FR" w:eastAsia="zh-CN" w:bidi="ar-SA"/>
        </w:rPr>
        <w:t xml:space="preserve">, </w:t>
      </w:r>
      <w:r>
        <w:rPr>
          <w:color w:val="000000"/>
          <w:lang w:val="fr-FR" w:eastAsia="zh-CN" w:bidi="ar-SA"/>
        </w:rPr>
        <w:t>dynamique culturelle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t xml:space="preserve">Parler de crise économique apparaît, </w:t>
      </w:r>
      <w:r>
        <w:rPr>
          <w:i/>
        </w:rPr>
        <w:t>a priori</w:t>
      </w:r>
      <w:r>
        <w:rPr/>
        <w:t>, comme une évidence en observant la situation économique et sociale, notamment au niveau de l’Union européenne. Cela fait l’objet de nombreux débats, tant au niveau des idées que des politiques pour y faire face. Cette idée d'une crise économique s'est suffisamment imposée dans les esprits contemporains pour qu'elle soit l'objet d'un enseignement scolaire. Cela conduit à poser la question de ce qui est enseigné à ce sujet</w:t>
      </w:r>
      <w:r>
        <w:rPr>
          <w:rStyle w:val="Ancredenotedebasdepage"/>
        </w:rPr>
        <w:footnoteReference w:id="4"/>
      </w:r>
      <w:r>
        <w:rPr/>
        <w:t>.</w:t>
      </w:r>
    </w:p>
    <w:p>
      <w:pPr>
        <w:pStyle w:val="Normal"/>
        <w:jc w:val="both"/>
        <w:rPr/>
      </w:pPr>
      <w:r>
        <w:rPr/>
        <w:t>Cet enseignement au lycée impliquerait la mobilisation de « </w:t>
      </w:r>
      <w:r>
        <w:rPr>
          <w:i/>
          <w:iCs/>
        </w:rPr>
        <w:t>notions, outils et modes de raisonnement spécifiques à la discipline concernée </w:t>
      </w:r>
      <w:r>
        <w:rPr/>
        <w:t>»</w:t>
      </w:r>
      <w:r>
        <w:rPr>
          <w:rStyle w:val="Ancredenotedebasdepage"/>
        </w:rPr>
        <w:footnoteReference w:id="5"/>
      </w:r>
      <w:r>
        <w:rPr/>
        <w:t>, en l'occurrence l'économie</w:t>
      </w:r>
      <w:r>
        <w:rPr>
          <w:rStyle w:val="Ancredenotedebasdepage"/>
        </w:rPr>
        <w:footnoteReference w:id="6"/>
      </w:r>
      <w:r>
        <w:rPr>
          <w:i/>
          <w:iCs/>
        </w:rPr>
        <w:t>.</w:t>
      </w:r>
      <w:r>
        <w:rPr/>
        <w:t xml:space="preserve"> L'examen du programme de Sciences Économiques et Sociales (discipline scolaire désormais désignée comme SES) pour la classe terminale en France le confirme : la notion de « </w:t>
      </w:r>
      <w:r>
        <w:rPr>
          <w:i/>
          <w:iCs/>
        </w:rPr>
        <w:t>crise économique</w:t>
      </w:r>
      <w:r>
        <w:rPr/>
        <w:t> » y est bien inscrite.</w:t>
      </w:r>
    </w:p>
    <w:p>
      <w:pPr>
        <w:pStyle w:val="Normal"/>
        <w:jc w:val="both"/>
        <w:rPr/>
      </w:pPr>
      <w:r>
        <w:rPr/>
        <w:t>Mais en quels termes est-ce enseigné, selon quels schémas explicatifs en particulier ?</w:t>
      </w:r>
    </w:p>
    <w:p>
      <w:pPr>
        <w:pStyle w:val="Normal"/>
        <w:jc w:val="both"/>
        <w:rPr/>
      </w:pPr>
      <w:r>
        <w:rPr/>
        <w:t>À l'occasion d'une recherche comparative récente, Kortendiek et Van Treeck (2015) concluent à une orientation exclusivement keynésienne de l'enseignement en France à propos des origines de la crise actuelle. Peut-on retenir une telle conclusion, et comment, de toute façon, expliquer l'orientation retenue ?</w:t>
      </w:r>
    </w:p>
    <w:p>
      <w:pPr>
        <w:pStyle w:val="Normal"/>
        <w:jc w:val="both"/>
        <w:rPr/>
      </w:pPr>
      <w:r>
        <w:rPr/>
        <w:t xml:space="preserve">Nous allons montrer que le choix des contenus donnés à enseigner sur la crise actuelle est le produit d'une dynamique à la fois socio-économique et culturelle de notre société. Comme tous les contenus d'enseignement, ils sont à rapporter à un lexique déterminé. </w:t>
      </w:r>
    </w:p>
    <w:p>
      <w:pPr>
        <w:pStyle w:val="Normal"/>
        <w:jc w:val="both"/>
        <w:rPr/>
      </w:pPr>
      <w:r>
        <w:rPr/>
        <w:t>Nous expliquerons ainsi à la fois le maintien de l'hégémonie du modèle standard en économie</w:t>
      </w:r>
      <w:r>
        <w:rPr>
          <w:rStyle w:val="Ancredenotedebasdepage"/>
        </w:rPr>
        <w:footnoteReference w:id="7"/>
      </w:r>
      <w:r>
        <w:rPr/>
        <w:t xml:space="preserve"> et la place de notions devenues des mots-clés du lexique contemporain, à l'origine des choix des contenus en SES pour l'étude de ladite crise.</w:t>
      </w:r>
    </w:p>
    <w:p>
      <w:pPr>
        <w:pStyle w:val="Normal"/>
        <w:rPr/>
      </w:pPr>
      <w:r>
        <w:rPr/>
      </w:r>
    </w:p>
    <w:p>
      <w:pPr>
        <w:pStyle w:val="Normal"/>
        <w:pBdr>
          <w:top w:val="single" w:sz="2" w:space="1" w:color="000001"/>
          <w:left w:val="single" w:sz="2" w:space="1" w:color="000001"/>
          <w:bottom w:val="single" w:sz="2" w:space="1" w:color="000001"/>
          <w:right w:val="single" w:sz="2" w:space="1" w:color="000001"/>
        </w:pBdr>
        <w:rPr>
          <w:b/>
          <w:b/>
          <w:bCs/>
        </w:rPr>
      </w:pPr>
      <w:r>
        <w:rPr>
          <w:b/>
          <w:bCs/>
        </w:rPr>
        <w:t>Une démarche, l'holisme sémantique</w:t>
      </w:r>
      <w:r>
        <w:rPr>
          <w:rStyle w:val="Ancredenotedebasdepage"/>
          <w:b/>
          <w:bCs/>
        </w:rPr>
        <w:footnoteReference w:id="8"/>
      </w:r>
    </w:p>
    <w:p>
      <w:pPr>
        <w:pStyle w:val="Normal"/>
        <w:pBdr>
          <w:top w:val="single" w:sz="2" w:space="1" w:color="000001"/>
          <w:left w:val="single" w:sz="2" w:space="1" w:color="000001"/>
          <w:bottom w:val="single" w:sz="2" w:space="1" w:color="000001"/>
          <w:right w:val="single" w:sz="2" w:space="1" w:color="000001"/>
        </w:pBdr>
        <w:rPr/>
      </w:pPr>
      <w:r>
        <w:rPr/>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rPr>
        <w:t>Toute discipline scolaire peut se concevoir comme le produit d'un double processus de didactisation et d'axiologisation de savoirs et de pratiques sociales de référence (Dévelay, 1995), et sa dimension axiologique la réfère au système de valeurs de la société. En l'occurrence, les SES montrent ce que la société française entend faire apprendre sur elle-même en tant que société</w:t>
      </w:r>
      <w:r>
        <w:rPr>
          <w:rStyle w:val="Ancredenotedebasdepage"/>
          <w:color w:val="000000"/>
        </w:rPr>
        <w:footnoteReference w:id="9"/>
      </w:r>
      <w:r>
        <w:rPr>
          <w:color w:val="000000"/>
        </w:rPr>
        <w:t>. C'est cette dimension axiologique de la sélection des contenus d'enseignement qu'il s'agit d'analyser.</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Pour ce faire, nous analysons ces contenus comme une « </w:t>
      </w:r>
      <w:r>
        <w:rPr>
          <w:i/>
          <w:iCs/>
          <w:color w:val="000000"/>
        </w:rPr>
        <w:t>marque du sens</w:t>
      </w:r>
      <w:r>
        <w:rPr>
          <w:color w:val="000000"/>
        </w:rPr>
        <w:t xml:space="preserve"> » (Solans, 2008), en les rapportant à un lexique déterminé, celui de la forme sociale, le capitalisme en l'occurrence, à un point de sa trajectoire.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rPr>
        <w:t>Holisme sémantique et lexique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 xml:space="preserve">Notre démarche théorique, que nous désignons par </w:t>
      </w:r>
      <w:r>
        <w:rPr>
          <w:i/>
          <w:iCs/>
          <w:color w:val="000000"/>
        </w:rPr>
        <w:t>holisme sémantique</w:t>
      </w:r>
      <w:r>
        <w:rPr>
          <w:color w:val="000000"/>
        </w:rPr>
        <w:t>, s’inscrit dans un courant de pensée – citons Pierce, Wittgenstein, Descombes, et Solans - qui fait d’un ensemble de signes l’esprit qui anime les êtres humains, esprit sans lequel ces derniers ne sauraient comment agir et, par conséquent, ne pourraient être conçus, contrairement à la conception standard en économie, comme des « </w:t>
      </w:r>
      <w:r>
        <w:rPr>
          <w:i/>
          <w:iCs/>
          <w:color w:val="000000"/>
        </w:rPr>
        <w:t>agents</w:t>
      </w:r>
      <w:r>
        <w:rPr>
          <w:color w:val="000000"/>
        </w:rPr>
        <w:t> ». Cet ensemble de signes qui donne de l’esprit, autrement dit du sens, c’est un système, ou réseau, de mots, c’est pourquoi nous parlons d’un holisme sémantique : notre démarche est holiste dès lors que c’est à cette totalité que nous attribuons l’origine des comportements des êtres humains en société, et c’est un holisme sémantique dès lors que c’est à un ensemble de mots, et donc de significations, qu’il confère la place déterminante dans l’analyse. Cet ensemble de mots, nous l’appellerons « </w:t>
      </w:r>
      <w:r>
        <w:rPr>
          <w:i/>
          <w:iCs/>
          <w:color w:val="000000"/>
        </w:rPr>
        <w:t>lexique</w:t>
      </w:r>
      <w:r>
        <w:rPr>
          <w:color w:val="000000"/>
        </w:rPr>
        <w:t> ». Centré sur une valeur, propre à chaque forme sociale, il est constitué de « </w:t>
      </w:r>
      <w:r>
        <w:rPr>
          <w:i/>
          <w:iCs/>
          <w:color w:val="000000"/>
        </w:rPr>
        <w:t>registres</w:t>
      </w:r>
      <w:r>
        <w:rPr>
          <w:color w:val="000000"/>
        </w:rPr>
        <w:t> », qui disent comment faire, et bien faire, autrement dit quelles sont les « </w:t>
      </w:r>
      <w:r>
        <w:rPr>
          <w:i/>
          <w:iCs/>
          <w:color w:val="000000"/>
        </w:rPr>
        <w:t>bonnes manières</w:t>
      </w:r>
      <w:r>
        <w:rPr>
          <w:color w:val="000000"/>
        </w:rPr>
        <w:t> ». Nous retrouvons ici l’idée de morale et, par la référence à un système de valeurs, celle de culture.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D’où vient ce lexique ? Il vient des conditions d’existence des êtres humains concernés : vivant dans une forme sociale hiérarchisée, c’est-à-dire un ensemble ordonné de places occupées dans le champ de l’approvisionnement (la production) et celui de la reproduction (de l’espèce humaine), ils valorisent à partir de leurs expériences les gestes accomplis par ceux qui occupent la place dominante (Solans, 2005).</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rPr>
        <w:t>Le lexique du confort donne sens à la vie dans une société capitaliste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Toute forme sociale donne ainsi naissance à un ensemble de mots, ou lexique, centré sur une valeur qui lui est propre. Celui du capitalisme est centré sur la valeur du confort, comme plusieurs travaux (Baudrillard, 1970, Goubert, 1988, Le Goff, 1994) l’ont montré. Cela veut dire que nous valorisons la production et l’utilisation de la matière, et par conséquent l’accumulation de « </w:t>
      </w:r>
      <w:r>
        <w:rPr>
          <w:i/>
          <w:iCs/>
          <w:color w:val="000000"/>
        </w:rPr>
        <w:t>biens</w:t>
      </w:r>
      <w:r>
        <w:rPr>
          <w:color w:val="000000"/>
        </w:rPr>
        <w:t> », ce dernier mot étant un exemple éclairant de l’idée de lexique : ce qui est « </w:t>
      </w:r>
      <w:r>
        <w:rPr>
          <w:i/>
          <w:iCs/>
          <w:color w:val="000000"/>
        </w:rPr>
        <w:t>bien</w:t>
      </w:r>
      <w:r>
        <w:rPr>
          <w:color w:val="000000"/>
        </w:rPr>
        <w:t> » se matérialise, dans notre esprit, par des « </w:t>
      </w:r>
      <w:r>
        <w:rPr>
          <w:i/>
          <w:iCs/>
          <w:color w:val="000000"/>
        </w:rPr>
        <w:t>biens</w:t>
      </w:r>
      <w:r>
        <w:rPr>
          <w:color w:val="000000"/>
        </w:rPr>
        <w:t>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Comment se constituent, autour de la valeur confort, le lexique et ses registres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Rappelons que le capitalisme est une forme sociale hiérarchisée. Cela implique une « </w:t>
      </w:r>
      <w:r>
        <w:rPr>
          <w:i/>
          <w:iCs/>
          <w:color w:val="000000"/>
        </w:rPr>
        <w:t>ségrégation</w:t>
      </w:r>
      <w:r>
        <w:rPr>
          <w:color w:val="000000"/>
        </w:rPr>
        <w:t> » sociale, au sens qu’une classe accapare le maximum de la valeur, en accumulant le maximum de biens, et cherche à exclure la classe dominée de l’accès à la valeur et aux gestes qui la distinguent. La valeur confort se trouve ainsi être à la fois ce qui unit les êtres humains et ce qui les sépare, au risque de rendre la vie collective impossible : comment les êtres exclus de ce qui vaut la peine d’être vécu peuvent-ils accepter ce qui les rend, à leurs propres yeux, méprisable ? En outre la production des biens exige le travail, que nous concevons comme l’ensemble des activités nécessaires à l’approvisionnement que les membres de la classe dominante refusent d’accomplir. Ceux à qui revient de les exécuter se voient imposer une activité dévalorisante, et surtout la cession d’une part du produit de ce travail à ces derniers : il y a exploitation.</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 xml:space="preserve">Il faut donc que la ségrégation et la contrainte de travailler en étant exploité soient supportables, et c’est aux mots du lexique de commander les façons de se comporter qui le permettent : comment, par ses gestes et en particulier ceux du travail, ne plus se vivre comme méprisable, mais au contraire comme admirable ? Et le lexique du confort, qui donne sens à la vie dans le capitalisme, se construit alors en deux registres, celui de la liberté et celui de l’égalité.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Pourquoi ces mots ? Dans le capitalisme, la valeur confort commande de produire, puis de consommer, les biens. Précisons que dans cette forme sociale, hiérarchisée, la place de l’excellence valorise le confort dans la mesure où c’est la place qu’occupent ceux qui sont à la fois habilités à mobiliser la force de travail des autres, dans le champ de la production, et habilités à participer à la reproduction.  Cette combinaison conduit ces êtres à valoriser la dimension matérielle de la vie, le confort, mais en même temps pose problème. En effet, produire est une activité que guide la volonté de maîtriser le monde, en l’occurrence la matière, et mû par cette volonté chaque être cherche à se défaire de toute contrainte, visant l’indépendance, autrement dit la liberté. Mais l’intérêt pour la reproduction conduit à ressentir comme essentielle la vie collective (vivre ensemble) : le problème est alors d’être indépendant tout en souhaitant la présence des autres. Et sa résolution consiste à combiner liberté – j’agis sans contrainte – et égalité – je respecte les autres en me soumettant à leur jugement. Le domaine de la production est celui où se mesure l’effet de cette double commande : celui qui est habilité à mobiliser la force de travail d’autrui commence par décider de produire selon ses souhaits, prouvant à la fois son savoir-faire et son indépendance. Mais il se soumet ensuite au jugement des autres : c’est en consommant ses produits que la collectivité valide son activité (on peut parler de postvalidation, par le « </w:t>
      </w:r>
      <w:r>
        <w:rPr>
          <w:i/>
          <w:iCs/>
          <w:color w:val="000000"/>
        </w:rPr>
        <w:t>marché</w:t>
      </w:r>
      <w:r>
        <w:rPr>
          <w:color w:val="000000"/>
        </w:rPr>
        <w:t> »). Et les registres qui se constituent sur la base de ces mots-clés de liberté et d’égalité informent ceux qui doivent travailler de la bonne manière de se comporter dans le champ de la production. Leur liberté les rend aptes à « </w:t>
      </w:r>
      <w:r>
        <w:rPr>
          <w:i/>
          <w:iCs/>
          <w:color w:val="000000"/>
        </w:rPr>
        <w:t>entreprendre</w:t>
      </w:r>
      <w:r>
        <w:rPr>
          <w:color w:val="000000"/>
        </w:rPr>
        <w:t> », en l’occurrence à choisir quel « </w:t>
      </w:r>
      <w:r>
        <w:rPr>
          <w:i/>
          <w:iCs/>
          <w:color w:val="000000"/>
        </w:rPr>
        <w:t>savoir-faire</w:t>
      </w:r>
      <w:r>
        <w:rPr>
          <w:color w:val="000000"/>
        </w:rPr>
        <w:t> » apprendre pour participer ensuite à la vie « </w:t>
      </w:r>
      <w:r>
        <w:rPr>
          <w:i/>
          <w:iCs/>
          <w:color w:val="000000"/>
        </w:rPr>
        <w:t>active</w:t>
      </w:r>
      <w:r>
        <w:rPr>
          <w:color w:val="000000"/>
        </w:rPr>
        <w:t> ». Ils se soumettent alors au jugement des autres, leurs égaux, qui valident (ou non) leur savoir-faire par l’embauche et leur participation à la production par l’achat du produit.</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Les registres rendent ainsi possible le travail, ce qui apparaissait, a priori, impossible. En passant des marchés, ceux qui travaillent se sentent eux aussi admirables. La ségrégation est remplacée, dans les esprits, par un simple classement selon le degré d’accès à ce qui est valorisé. Quant à l’exploitation, elle disparaît sous l’apparence d’une relation d’échange.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rPr>
        <w:t>Les registres du lexique sont finalement l’incarnation de l’expérience collective : c’est par eux que chaque être « </w:t>
      </w:r>
      <w:r>
        <w:rPr>
          <w:i/>
          <w:iCs/>
          <w:color w:val="000000"/>
        </w:rPr>
        <w:t>constitue son expérience en tant qu’elle est irréductiblement individuelle (c’est moi qui parle) et collective (je parle avec les mots de la tribu, je suis donc aussi parlé par eux).</w:t>
      </w:r>
      <w:r>
        <w:rPr>
          <w:color w:val="000000"/>
        </w:rPr>
        <w:t> » (Lecercle, 2001, page 506, à propos du travail de Raymond Williams).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rPr>
        <w:t>Dynamique du capitalisme et évolution du lexique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Notre démarche consiste alors à repérer comment ce lexique et ses registres agissent sur les façons de connaître, ou « </w:t>
      </w:r>
      <w:r>
        <w:rPr>
          <w:i/>
          <w:iCs/>
          <w:color w:val="000000"/>
        </w:rPr>
        <w:t>savoirs</w:t>
      </w:r>
      <w:r>
        <w:rPr>
          <w:color w:val="000000"/>
        </w:rPr>
        <w:t> », et comment cela évolue au long de la trajectoire du capitalisme. Celui-ci en effet, mû par les conflits entre classes autour de l’enjeu que signifie la valeur, et en particulier les conflits de répartition du produit du travail, se transforme et avec lui le lexique, ce qui modifie en retour les conduites des êtres humains.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Dans le capitalisme s’est imposée, a priori, une façon de « </w:t>
      </w:r>
      <w:r>
        <w:rPr>
          <w:i/>
          <w:iCs/>
          <w:color w:val="000000"/>
        </w:rPr>
        <w:t>bien connaître</w:t>
      </w:r>
      <w:r>
        <w:rPr>
          <w:color w:val="000000"/>
        </w:rPr>
        <w:t> » sous le nom de « </w:t>
      </w:r>
      <w:r>
        <w:rPr>
          <w:i/>
          <w:iCs/>
          <w:color w:val="000000"/>
        </w:rPr>
        <w:t>science</w:t>
      </w:r>
      <w:r>
        <w:rPr>
          <w:color w:val="000000"/>
        </w:rPr>
        <w:t> », et l’enseignement de SES, en particulier, se voit assigné pour référence les savoirs « </w:t>
      </w:r>
      <w:r>
        <w:rPr>
          <w:i/>
          <w:iCs/>
          <w:color w:val="000000"/>
        </w:rPr>
        <w:t>savants</w:t>
      </w:r>
      <w:r>
        <w:rPr>
          <w:color w:val="000000"/>
        </w:rPr>
        <w:t> » issus des « </w:t>
      </w:r>
      <w:r>
        <w:rPr>
          <w:i/>
          <w:iCs/>
          <w:color w:val="000000"/>
        </w:rPr>
        <w:t>sciences sociales</w:t>
      </w:r>
      <w:r>
        <w:rPr>
          <w:color w:val="000000"/>
        </w:rPr>
        <w:t> ». Mais sans refuser à celles-ci une autonomie par rapport au lexique, nous posons qu’elles n’en sont pas pour autant indépendantes, et c’est l’objet de l’histoire de la « </w:t>
      </w:r>
      <w:r>
        <w:rPr>
          <w:i/>
          <w:iCs/>
          <w:color w:val="000000"/>
        </w:rPr>
        <w:t>pensée économique</w:t>
      </w:r>
      <w:r>
        <w:rPr>
          <w:color w:val="000000"/>
        </w:rPr>
        <w:t> », en particulier, d’analyser ce rapport complexe. Et en analysant les programmes de SES et leur évolution nous entendons y contribuer : pourquoi, aujourd’hui par exemple, tel modèle théorique s’impose-t-il comme « </w:t>
      </w:r>
      <w:r>
        <w:rPr>
          <w:i/>
          <w:iCs/>
          <w:color w:val="000000"/>
        </w:rPr>
        <w:t>la science économique</w:t>
      </w:r>
      <w:r>
        <w:rPr>
          <w:color w:val="000000"/>
        </w:rPr>
        <w:t> », modèle standard de « </w:t>
      </w:r>
      <w:r>
        <w:rPr>
          <w:i/>
          <w:iCs/>
          <w:color w:val="000000"/>
        </w:rPr>
        <w:t>l’économiste</w:t>
      </w:r>
      <w:r>
        <w:rPr>
          <w:color w:val="000000"/>
        </w:rPr>
        <w:t> », alors que d’autres conceptions théoriques n’ont aucunement été invalidées ?</w:t>
      </w:r>
    </w:p>
    <w:p>
      <w:pPr>
        <w:pStyle w:val="Normal"/>
        <w:pBdr>
          <w:top w:val="single" w:sz="2" w:space="1" w:color="000001"/>
          <w:left w:val="single" w:sz="2" w:space="1" w:color="000001"/>
          <w:bottom w:val="single" w:sz="2" w:space="1" w:color="000001"/>
          <w:right w:val="single" w:sz="2" w:space="1" w:color="000001"/>
        </w:pBdr>
        <w:spacing w:lineRule="atLeast" w:line="100"/>
        <w:jc w:val="both"/>
        <w:rPr/>
      </w:pPr>
      <w:r>
        <w:rPr>
          <w:color w:val="000000"/>
        </w:rPr>
        <w:t>Selon les époques, l’importance relative de chaque registre n’est pas la même. Leur ordonnancement est constitutif de ce que nous appelons le régime intellectuel</w:t>
      </w:r>
      <w:r>
        <w:rPr>
          <w:rStyle w:val="Ancredenotedebasdepage"/>
          <w:color w:val="000000"/>
        </w:rPr>
        <w:footnoteReference w:id="10"/>
      </w:r>
      <w:r>
        <w:rPr>
          <w:color w:val="000000"/>
        </w:rPr>
        <w:t>. Ce dernier désigne un discours qui propose une description du monde susceptible de faire tenir ensemble des catégories de la société a priori opposées</w:t>
      </w:r>
      <w:r>
        <w:rPr>
          <w:rStyle w:val="Ancredenotedebasdepage"/>
          <w:color w:val="000000"/>
        </w:rPr>
        <w:footnoteReference w:id="11"/>
      </w:r>
      <w:r>
        <w:rPr>
          <w:color w:val="000000"/>
        </w:rPr>
        <w:t>, dès lors que cette description est en accord avec les expériences fondatrices</w:t>
      </w:r>
      <w:r>
        <w:rPr>
          <w:rStyle w:val="Ancredenotedebasdepage"/>
          <w:color w:val="000000"/>
        </w:rPr>
        <w:footnoteReference w:id="12"/>
      </w:r>
      <w:r>
        <w:rPr>
          <w:color w:val="000000"/>
        </w:rPr>
        <w:t xml:space="preserve"> que vivent les membres de ces catégories. Ce discours permet à chaque être de savoir qui il est, dans les rapports qu'il entretient avec les autres, en particulier dans les activités liées à la reproduction matérielle. Fondé implicitement sur la valeur centrale du confort, tout régime intellectuel qui agit sur les esprits le fait à l'aide d'un lexique déterminé, susceptible d'être analysé en le référant aux registres évoqués supra, assemblés dans un ordre susceptible de varier le long de la trajectoire du capitalisme.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Qui plus est cet ensemble de mots, bien que constituant la référence à un moment de l'histoire, se trouve soumis à la concurrence d'autres discours sur le monde, dès qu'il cesse de tenir ses promesses en justifiant pour chaque être la place qu'il occupe et les comportements qu'il adopte.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FF"/>
        </w:rPr>
      </w:pPr>
      <w:r>
        <w:rPr>
          <w:color w:val="000000"/>
        </w:rPr>
        <w:t>L’intérêt des effets de lexique pour l’analyse didactique</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L'analyse des contenus scolaires implique alors de les relier au discours qui sert de référence pour penser le monde et au lexique correspondant, au moment où elle se trouve de par la dynamique du capitalisme, et au lexique qui le caractérise, quitte à faire place à l'influence de discours concurrents. La dynamique du capitalisme, en particulier sous l'effet des antagonismes sur le partage du produit du travail collectif, modifie en effet le lexique et ce faisant la mentalité collective, en réorganisant notamment l'agencement des registres, au sein des régimes intellectuels.</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Nous nous proposons aussi d’enrichir l’étude de la « </w:t>
      </w:r>
      <w:r>
        <w:rPr>
          <w:i/>
          <w:iCs/>
          <w:color w:val="000000"/>
        </w:rPr>
        <w:t>transposition didactique</w:t>
      </w:r>
      <w:r>
        <w:rPr>
          <w:color w:val="000000"/>
        </w:rPr>
        <w:t> » depuis ces savoirs savants, en recherchant les « </w:t>
      </w:r>
      <w:r>
        <w:rPr>
          <w:i/>
          <w:iCs/>
          <w:color w:val="000000"/>
        </w:rPr>
        <w:t>effets de lexique</w:t>
      </w:r>
      <w:r>
        <w:rPr>
          <w:color w:val="000000"/>
        </w:rPr>
        <w:t> » sur les savoirs à enseigner, et ce à partir de l’examen des programmes et des supports d’enseignement. Nous appelons « </w:t>
      </w:r>
      <w:r>
        <w:rPr>
          <w:i/>
          <w:iCs/>
          <w:color w:val="000000"/>
        </w:rPr>
        <w:t>effet de lexique</w:t>
      </w:r>
      <w:r>
        <w:rPr>
          <w:color w:val="000000"/>
        </w:rPr>
        <w:t> » le processus par lequel le lexique de la forme sociale intègre un mot ou une expression. Dans cette dynamique combinée du rapport capitaliste et du système de valeurs, ce mot, initialement un concept, est  éloigné puis séparéde sa matrice théorique – abandon de toute référence, glissements de sens -, jusqu'à en faire la seule façon de parler. Toutes les autres sont ainsi reléguées dans l'indicible et donc l'inaudible. Parler d’effet de lexique amène alors à débattre de la transposition didactique. Comme l’écrivent Beitone et alii (1995, pages 43-44)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 </w:t>
      </w:r>
      <w:r>
        <w:rPr>
          <w:i/>
          <w:iCs/>
          <w:color w:val="000000"/>
        </w:rPr>
        <w:t>L’activité didactique suppose, dans une certaine mesure, une réification des concepts.</w:t>
      </w:r>
      <w:r>
        <w:rPr>
          <w:color w:val="000000"/>
        </w:rPr>
        <w:t> ». Or c’est au risque d’un « </w:t>
      </w:r>
      <w:r>
        <w:rPr>
          <w:i/>
          <w:iCs/>
          <w:color w:val="000000"/>
        </w:rPr>
        <w:t>évanouissement du sens</w:t>
      </w:r>
      <w:r>
        <w:rPr>
          <w:color w:val="000000"/>
        </w:rPr>
        <w:t> » (Joshua et Dupin, 1993, page 253), qui fera obstacle aux apprentissages.  Les concepts n’ont de sens qu’au sein de ce que nous appelons une « </w:t>
      </w:r>
      <w:r>
        <w:rPr>
          <w:i/>
          <w:iCs/>
          <w:color w:val="000000"/>
        </w:rPr>
        <w:t>matrice théorique </w:t>
      </w:r>
      <w:r>
        <w:rPr>
          <w:color w:val="000000"/>
        </w:rPr>
        <w:t>», c’est-à-dire un modèle qui engendre, précisément, un sens déterminé. Or la didactisation peut conduire à appauvrir un concept, selon la façon dont il est défini. Définir « </w:t>
      </w:r>
      <w:r>
        <w:rPr>
          <w:i/>
          <w:iCs/>
          <w:color w:val="000000"/>
        </w:rPr>
        <w:t>capital</w:t>
      </w:r>
      <w:r>
        <w:rPr>
          <w:color w:val="000000"/>
        </w:rPr>
        <w:t> », par exemple, en ne gardant que ce qui est commun aux diverses conceptions - « </w:t>
      </w:r>
      <w:r>
        <w:rPr>
          <w:i/>
          <w:iCs/>
          <w:color w:val="000000"/>
        </w:rPr>
        <w:t>capital</w:t>
      </w:r>
      <w:r>
        <w:rPr>
          <w:color w:val="000000"/>
        </w:rPr>
        <w:t> » signifie « </w:t>
      </w:r>
      <w:r>
        <w:rPr>
          <w:i/>
          <w:iCs/>
          <w:color w:val="000000"/>
        </w:rPr>
        <w:t>ressources</w:t>
      </w:r>
      <w:r>
        <w:rPr>
          <w:color w:val="000000"/>
        </w:rPr>
        <w:t> » - conduit à une perte de sens : comment les élèves peuvent-ils  distinguer le sens que lui donne la conception marxiste, en particulier, de celui que lui donne le modèle néo-classique, qui s’est imposé comme le modèle standard ?</w:t>
      </w:r>
    </w:p>
    <w:p>
      <w:pPr>
        <w:pStyle w:val="Normal"/>
        <w:pBdr>
          <w:top w:val="single" w:sz="2" w:space="1" w:color="000001"/>
          <w:left w:val="single" w:sz="2" w:space="1" w:color="000001"/>
          <w:bottom w:val="single" w:sz="2" w:space="1" w:color="000001"/>
          <w:right w:val="single" w:sz="2" w:space="1" w:color="000001"/>
        </w:pBdr>
        <w:spacing w:lineRule="atLeast" w:line="100"/>
        <w:jc w:val="both"/>
        <w:rPr>
          <w:color w:val="000000"/>
        </w:rPr>
      </w:pPr>
      <w:r>
        <w:rPr>
          <w:color w:val="000000"/>
        </w:rPr>
        <w:t>Notre démarche est susceptible, par ailleurs, d’éclairer l’articulation entre savoirs savants, savoirs scolaires et savoirs « </w:t>
      </w:r>
      <w:r>
        <w:rPr>
          <w:i/>
          <w:iCs/>
          <w:color w:val="000000"/>
        </w:rPr>
        <w:t>naturels</w:t>
      </w:r>
      <w:r>
        <w:rPr>
          <w:color w:val="000000"/>
        </w:rPr>
        <w:t> » (Legardez, 2004), en intégrant les apports des travaux sur les représentations sociales, dont le lexique est a priori l’une des sources.</w:t>
      </w:r>
    </w:p>
    <w:p>
      <w:pPr>
        <w:pStyle w:val="Normal"/>
        <w:rPr/>
      </w:pPr>
      <w:r>
        <w:rPr/>
      </w:r>
    </w:p>
    <w:p>
      <w:pPr>
        <w:pStyle w:val="Normal"/>
        <w:jc w:val="both"/>
        <w:rPr>
          <w:b/>
          <w:b/>
          <w:bCs/>
          <w:sz w:val="28"/>
          <w:szCs w:val="28"/>
        </w:rPr>
      </w:pPr>
      <w:r>
        <w:rPr>
          <w:b/>
          <w:bCs/>
          <w:sz w:val="28"/>
          <w:szCs w:val="28"/>
        </w:rPr>
        <w:t>I – Les contenus scolaires portent la marque du temps</w:t>
      </w:r>
    </w:p>
    <w:p>
      <w:pPr>
        <w:pStyle w:val="Normal"/>
        <w:jc w:val="both"/>
        <w:rPr>
          <w:color w:val="000000"/>
        </w:rPr>
      </w:pPr>
      <w:r>
        <w:rPr>
          <w:color w:val="000000"/>
        </w:rPr>
      </w:r>
    </w:p>
    <w:p>
      <w:pPr>
        <w:pStyle w:val="Normal"/>
        <w:spacing w:lineRule="atLeast" w:line="100"/>
        <w:jc w:val="both"/>
        <w:rPr>
          <w:color w:val="000000"/>
        </w:rPr>
      </w:pPr>
      <w:r>
        <w:rPr>
          <w:color w:val="000000"/>
        </w:rPr>
        <w:t>Des analyses de la dynamique socio-économique (Canry, 2005 ; Solans, 2008) montrent que le jeu des comportements des salariés et des propriétaires du capital a fait passer le capitalisme d’une étape à l'autre, sur sa trajectoire, et ce faisant a fait changer le lexique. Alors que précédemment la position de force des salariés avait rendu premier le registre de l’égalité, nous sommes passés à une étape où ce sont les registres de la liberté et de la distinction, dans un ordre variable, qui ont pris sa place. Nous concluons alors au passage, en une  trentaine d'années environ, à un nouveau régime intellectuel, qui se manifeste par un nouveau lexique.</w:t>
      </w:r>
    </w:p>
    <w:p>
      <w:pPr>
        <w:pStyle w:val="Normal"/>
        <w:spacing w:lineRule="atLeast" w:line="100"/>
        <w:jc w:val="both"/>
        <w:rPr/>
      </w:pPr>
      <w:r>
        <w:rPr>
          <w:color w:val="000000"/>
        </w:rPr>
        <w:t>Le renouvellement du lexique se révèle, à l'analyse, à quelques mots-clés, dont le premier est</w:t>
      </w:r>
      <w:r>
        <w:rPr>
          <w:i/>
          <w:iCs/>
          <w:color w:val="000000"/>
        </w:rPr>
        <w:t xml:space="preserve"> </w:t>
      </w:r>
      <w:r>
        <w:rPr>
          <w:color w:val="000000"/>
        </w:rPr>
        <w:t>« </w:t>
      </w:r>
      <w:r>
        <w:rPr>
          <w:i/>
          <w:iCs/>
          <w:color w:val="000000"/>
        </w:rPr>
        <w:t>marché</w:t>
      </w:r>
      <w:r>
        <w:rPr>
          <w:color w:val="000000"/>
        </w:rPr>
        <w:t xml:space="preserve"> ». Notre société se pense, aujourd'hui, comme un ensemble d'individus qui passent des marchés </w:t>
      </w:r>
      <w:r>
        <w:rPr>
          <w:color w:val="3366FF"/>
        </w:rPr>
        <w:t xml:space="preserve">– </w:t>
      </w:r>
      <w:r>
        <w:rPr>
          <w:color w:val="000000"/>
        </w:rPr>
        <w:t>des contrats</w:t>
      </w:r>
      <w:r>
        <w:rPr>
          <w:rStyle w:val="Ancredenotedebasdepage"/>
          <w:color w:val="000000"/>
        </w:rPr>
        <w:footnoteReference w:id="13"/>
      </w:r>
      <w:r>
        <w:rPr>
          <w:color w:val="3366FF"/>
        </w:rPr>
        <w:t xml:space="preserve"> –</w:t>
      </w:r>
      <w:r>
        <w:rPr>
          <w:color w:val="000000"/>
        </w:rPr>
        <w:t>, et cela produit sur les contenus d'enseignement des effets de lexique.</w:t>
      </w:r>
    </w:p>
    <w:p>
      <w:pPr>
        <w:pStyle w:val="Normal"/>
        <w:spacing w:lineRule="atLeast" w:line="100"/>
        <w:jc w:val="both"/>
        <w:rPr/>
      </w:pPr>
      <w:r>
        <w:rPr>
          <w:color w:val="000000"/>
        </w:rPr>
        <w:t>Voyons à présent ce que disent programme, manuels et cours en ligne de SES pour traiter la crise actuelle.</w:t>
      </w:r>
    </w:p>
    <w:p>
      <w:pPr>
        <w:pStyle w:val="Normal"/>
        <w:spacing w:lineRule="atLeast" w:line="100"/>
        <w:jc w:val="both"/>
        <w:rPr/>
      </w:pPr>
      <w:r>
        <w:rPr>
          <w:color w:val="000000"/>
        </w:rPr>
        <w:t>Rappelons en  premier lieu les contenus du programme. Précisons d'entrée qu'en France c'est l'État</w:t>
      </w:r>
      <w:r>
        <w:rPr>
          <w:rStyle w:val="Ancredenotedebasdepage"/>
          <w:color w:val="000000"/>
        </w:rPr>
        <w:footnoteReference w:id="14"/>
      </w:r>
      <w:r>
        <w:rPr>
          <w:color w:val="000000"/>
        </w:rPr>
        <w:t xml:space="preserve"> qui définit ce qui doit être enseigné, dans un programme officiel. Ce programme, aujourd'hui, se compose d'une liste de thèmes et/ou de questionnements, et d'une liste de notions à enseigner pour le traitement de ces derniers. Des « </w:t>
      </w:r>
      <w:r>
        <w:rPr>
          <w:i/>
          <w:iCs/>
          <w:color w:val="000000"/>
        </w:rPr>
        <w:t>Indications Complémentaires</w:t>
      </w:r>
      <w:r>
        <w:rPr>
          <w:color w:val="000000"/>
        </w:rPr>
        <w:t> » s'y ajoutent, qui à la fois délimitent l'étude, afin d'éviter des développements jugés inutiles à ce niveau d'enseignement, et orientent l'activité d'enseignement. Dès publication, ce programme s'impose à toute l'institution scolaire : les professeurs, au premier chef, mais aussi tous les organismes qui produisent des supports d'enseignement, tels que les maisons d'édition, entreprises privées qui se partagent le marché des manuels scolaires.</w:t>
      </w:r>
    </w:p>
    <w:p>
      <w:pPr>
        <w:pStyle w:val="Normal"/>
        <w:spacing w:lineRule="atLeast" w:line="100"/>
        <w:jc w:val="both"/>
        <w:rPr>
          <w:color w:val="000000"/>
        </w:rPr>
      </w:pPr>
      <w:r>
        <w:rPr>
          <w:color w:val="000000"/>
        </w:rPr>
        <w:t>Les « </w:t>
      </w:r>
      <w:r>
        <w:rPr>
          <w:i/>
          <w:iCs/>
          <w:color w:val="000000"/>
        </w:rPr>
        <w:t>Indications complémentaires</w:t>
      </w:r>
      <w:r>
        <w:rPr>
          <w:color w:val="000000"/>
        </w:rPr>
        <w:t> » semblent avoir acquis, à l'occasion de l'élaboration des programmes en vigueur, un fort pouvoir prescriptif. Dans la première sous-partie de la partie « </w:t>
      </w:r>
      <w:r>
        <w:rPr>
          <w:i/>
          <w:iCs/>
          <w:color w:val="000000"/>
        </w:rPr>
        <w:t>science économique</w:t>
      </w:r>
      <w:r>
        <w:rPr>
          <w:color w:val="000000"/>
        </w:rPr>
        <w:t> », qui ouvre ce programme sous le titre « </w:t>
      </w:r>
      <w:r>
        <w:rPr>
          <w:i/>
          <w:iCs/>
          <w:color w:val="000000"/>
        </w:rPr>
        <w:t>croissance, fluctuations et crises</w:t>
      </w:r>
      <w:r>
        <w:rPr>
          <w:color w:val="000000"/>
        </w:rPr>
        <w:t> », c'est le deuxième « </w:t>
      </w:r>
      <w:r>
        <w:rPr>
          <w:i/>
          <w:iCs/>
          <w:color w:val="000000"/>
        </w:rPr>
        <w:t>questionnement</w:t>
      </w:r>
      <w:r>
        <w:rPr>
          <w:color w:val="000000"/>
        </w:rPr>
        <w:t> » : « </w:t>
      </w:r>
      <w:r>
        <w:rPr>
          <w:i/>
          <w:iCs/>
          <w:color w:val="000000"/>
        </w:rPr>
        <w:t>Comment expliquer l'instabilité de la croissance ?</w:t>
      </w:r>
      <w:r>
        <w:rPr>
          <w:color w:val="000000"/>
        </w:rPr>
        <w:t> ». Il y a cinq notions à enseigner : « </w:t>
      </w:r>
      <w:r>
        <w:rPr>
          <w:i/>
          <w:iCs/>
          <w:color w:val="000000"/>
        </w:rPr>
        <w:t>fluctuations économiques</w:t>
      </w:r>
      <w:r>
        <w:rPr>
          <w:color w:val="000000"/>
        </w:rPr>
        <w:t> », « </w:t>
      </w:r>
      <w:r>
        <w:rPr>
          <w:i/>
          <w:iCs/>
          <w:color w:val="000000"/>
        </w:rPr>
        <w:t>crise économique</w:t>
      </w:r>
      <w:r>
        <w:rPr>
          <w:color w:val="000000"/>
        </w:rPr>
        <w:t> », « </w:t>
      </w:r>
      <w:r>
        <w:rPr>
          <w:i/>
          <w:iCs/>
          <w:color w:val="000000"/>
        </w:rPr>
        <w:t>désinflation</w:t>
      </w:r>
      <w:r>
        <w:rPr>
          <w:color w:val="000000"/>
        </w:rPr>
        <w:t> », « </w:t>
      </w:r>
      <w:r>
        <w:rPr>
          <w:i/>
          <w:iCs/>
          <w:color w:val="000000"/>
        </w:rPr>
        <w:t>déflation</w:t>
      </w:r>
      <w:r>
        <w:rPr>
          <w:color w:val="000000"/>
        </w:rPr>
        <w:t> ». Des « </w:t>
      </w:r>
      <w:r>
        <w:rPr>
          <w:i/>
          <w:iCs/>
          <w:color w:val="000000"/>
        </w:rPr>
        <w:t>Indications complémentaires</w:t>
      </w:r>
      <w:r>
        <w:rPr>
          <w:color w:val="000000"/>
        </w:rPr>
        <w:t> », retenons : « </w:t>
      </w:r>
      <w:r>
        <w:rPr>
          <w:i/>
          <w:iCs/>
          <w:color w:val="000000"/>
        </w:rPr>
        <w:t xml:space="preserve">L'observation des fluctuations économiques permettra de mettre l'accent sur la variabilité de la croissance et sur l'existence de périodes de crise. On présentera les idées directrices des principaux schémas explicatifs des fluctuations (chocs d'offre et de demande, cycle du crédit), en insistant notamment sur les liens avec la demande globale. </w:t>
      </w:r>
      <w:r>
        <w:rPr>
          <w:color w:val="000000"/>
        </w:rPr>
        <w:t> ».</w:t>
      </w:r>
    </w:p>
    <w:p>
      <w:pPr>
        <w:pStyle w:val="Normal"/>
        <w:spacing w:lineRule="atLeast" w:line="100"/>
        <w:jc w:val="both"/>
        <w:rPr>
          <w:color w:val="000000"/>
        </w:rPr>
      </w:pPr>
      <w:r>
        <w:rPr>
          <w:color w:val="000000"/>
        </w:rPr>
        <w:t>Comment, dans ce cadre, les manuels et cours en ligne examinés présentent-ils la crise économique actuelle ?</w:t>
      </w:r>
    </w:p>
    <w:p>
      <w:pPr>
        <w:pStyle w:val="Normal"/>
        <w:jc w:val="both"/>
        <w:rPr/>
      </w:pPr>
      <w:r>
        <w:rPr/>
        <w:t>Notre analyse a porté sur les contenus proposés par six manuels scolaires</w:t>
      </w:r>
      <w:r>
        <w:rPr>
          <w:rStyle w:val="Ancredenotedebasdepage"/>
        </w:rPr>
        <w:footnoteReference w:id="15"/>
      </w:r>
      <w:r>
        <w:rPr/>
        <w:t>, un document ressource du ministère et un autre émanant d'un institut d'origine patronale</w:t>
      </w:r>
      <w:r>
        <w:rPr>
          <w:rStyle w:val="Ancredenotedebasdepage"/>
        </w:rPr>
        <w:footnoteReference w:id="16"/>
      </w:r>
      <w:r>
        <w:rPr/>
        <w:t>, et neuf cours mis en ligne par des enseignants de SES. Nous allons montrer que la présentation qu'ils proposent de la crise actuelle est marquée par le recours aux notions et aux schémas explicatifs de l'économie standard (Ponsot et Rocca, 2013).</w:t>
      </w:r>
    </w:p>
    <w:p>
      <w:pPr>
        <w:pStyle w:val="Normal"/>
        <w:jc w:val="both"/>
        <w:rPr/>
      </w:pPr>
      <w:r>
        <w:rPr/>
        <w:t>Sur dix-sept supports d'enseignement (manuels, cours ou fiches en ligne), dix présentent le modèle standard sans nuance, quatre y intègrent une petite différence, deux un peu plus, et un ouvre la porte à une présentation pluraliste.</w:t>
      </w:r>
    </w:p>
    <w:p>
      <w:pPr>
        <w:pStyle w:val="Normal"/>
        <w:jc w:val="both"/>
        <w:rPr/>
      </w:pPr>
      <w:r>
        <w:rPr/>
      </w:r>
    </w:p>
    <w:p>
      <w:pPr>
        <w:pStyle w:val="Normal"/>
        <w:jc w:val="both"/>
        <w:rPr/>
      </w:pPr>
      <w:r>
        <w:rPr>
          <w:b/>
          <w:bCs/>
          <w:color w:val="000000"/>
        </w:rPr>
        <w:t>I-1. La grande majorité des manuels ou cours en ligne examinés s'inspire de l'économie standard</w:t>
      </w:r>
    </w:p>
    <w:p>
      <w:pPr>
        <w:pStyle w:val="Normal"/>
        <w:jc w:val="both"/>
        <w:rPr/>
      </w:pPr>
      <w:r>
        <w:rPr/>
      </w:r>
    </w:p>
    <w:p>
      <w:pPr>
        <w:pStyle w:val="Normal"/>
        <w:jc w:val="both"/>
        <w:rPr/>
      </w:pPr>
      <w:r>
        <w:rPr/>
        <w:t xml:space="preserve">Commençons par la définition de la notion de </w:t>
      </w:r>
      <w:r>
        <w:rPr>
          <w:i/>
          <w:iCs/>
        </w:rPr>
        <w:t>crise</w:t>
      </w:r>
      <w:r>
        <w:rPr/>
        <w:t>. C'est pour la moitié des supports examinés un point de retournement du cycle, pour les autres le point de retournement de « </w:t>
      </w:r>
      <w:r>
        <w:rPr>
          <w:i/>
          <w:iCs/>
        </w:rPr>
        <w:t>l'activité économique</w:t>
      </w:r>
      <w:r>
        <w:rPr/>
        <w:t> », mais dans tous les cas la crise étant suivie soit d'une récession ou dépression dans l'acception stricte de la notion soit d'une reprise dans son acception large</w:t>
      </w:r>
      <w:r>
        <w:rPr>
          <w:rStyle w:val="Ancredenotedebasdepage"/>
        </w:rPr>
        <w:footnoteReference w:id="17"/>
      </w:r>
      <w:r>
        <w:rPr/>
        <w:t>, l'idée est bien de l'intégration de la crise à un cycle et, dès lors que la réalité des cycles est admise, apparemment, sans discussion, cela renvoie à l'explication des cycles eux-mêmes. Et en ce sens trois des supports donnent déjà des indications :</w:t>
      </w:r>
    </w:p>
    <w:p>
      <w:pPr>
        <w:pStyle w:val="Normal"/>
        <w:numPr>
          <w:ilvl w:val="0"/>
          <w:numId w:val="1"/>
        </w:numPr>
        <w:jc w:val="both"/>
        <w:rPr/>
      </w:pPr>
      <w:r>
        <w:rPr/>
        <w:t>l'un en précisant que par crise on entend « </w:t>
      </w:r>
      <w:r>
        <w:rPr>
          <w:i/>
          <w:iCs/>
        </w:rPr>
        <w:t xml:space="preserve">plus généralement : </w:t>
      </w:r>
      <w:r>
        <w:rPr>
          <w:b/>
          <w:bCs/>
          <w:i/>
          <w:iCs/>
        </w:rPr>
        <w:t>rupture de l'équilibre entre l'offre et la demande</w:t>
      </w:r>
      <w:r>
        <w:rPr>
          <w:i/>
          <w:iCs/>
        </w:rPr>
        <w:t xml:space="preserve"> de biens et services, qui provoque  un processus dépressif de l'activité économique</w:t>
      </w:r>
      <w:r>
        <w:rPr/>
        <w:t> » ;</w:t>
      </w:r>
    </w:p>
    <w:p>
      <w:pPr>
        <w:pStyle w:val="Normal"/>
        <w:numPr>
          <w:ilvl w:val="0"/>
          <w:numId w:val="1"/>
        </w:numPr>
        <w:jc w:val="both"/>
        <w:rPr/>
      </w:pPr>
      <w:r>
        <w:rPr/>
        <w:t>les deux autres introduisant une distinction entre court et long terme, soit pour faire de la crise une « </w:t>
      </w:r>
      <w:r>
        <w:rPr>
          <w:b/>
          <w:bCs/>
          <w:i/>
          <w:iCs/>
        </w:rPr>
        <w:t>perturbation</w:t>
      </w:r>
      <w:r>
        <w:rPr/>
        <w:t> »</w:t>
      </w:r>
      <w:r>
        <w:rPr>
          <w:rStyle w:val="Ancredenotedebasdepage"/>
        </w:rPr>
        <w:footnoteReference w:id="18"/>
      </w:r>
      <w:r>
        <w:rPr/>
        <w:t xml:space="preserve"> affectant la croissance de long terme, soit pour distinguer « </w:t>
      </w:r>
      <w:r>
        <w:rPr>
          <w:i/>
          <w:iCs/>
        </w:rPr>
        <w:t>crise conjoncturelle</w:t>
      </w:r>
      <w:r>
        <w:rPr/>
        <w:t> », comme « </w:t>
      </w:r>
      <w:r>
        <w:rPr>
          <w:i/>
          <w:iCs/>
        </w:rPr>
        <w:t>moment de retournement du cycle</w:t>
      </w:r>
      <w:r>
        <w:rPr/>
        <w:t> », et « </w:t>
      </w:r>
      <w:r>
        <w:rPr>
          <w:i/>
          <w:iCs/>
        </w:rPr>
        <w:t>crise structurelle, longue</w:t>
      </w:r>
      <w:r>
        <w:rPr/>
        <w:t> », « </w:t>
      </w:r>
      <w:r>
        <w:rPr>
          <w:rFonts w:eastAsia="Arial" w:cs="Times New Roman"/>
          <w:i/>
          <w:iCs/>
        </w:rPr>
        <w:t>qui montre la nécessité de transformations dans l'organisation de la production</w:t>
      </w:r>
      <w:r>
        <w:rPr>
          <w:rFonts w:eastAsia="Arial" w:cs="Arial" w:ascii="Arial" w:hAnsi="Arial"/>
          <w:sz w:val="20"/>
          <w:szCs w:val="20"/>
        </w:rPr>
        <w:t> ».</w:t>
      </w:r>
    </w:p>
    <w:p>
      <w:pPr>
        <w:pStyle w:val="Normal"/>
        <w:jc w:val="both"/>
        <w:rPr/>
      </w:pPr>
      <w:r>
        <w:rPr>
          <w:rFonts w:eastAsia="Arial" w:cs="Times New Roman"/>
        </w:rPr>
        <w:t xml:space="preserve">Ensuite, conformément aux Indications Complémentaires, la notion de </w:t>
      </w:r>
      <w:r>
        <w:rPr>
          <w:rFonts w:eastAsia="Arial" w:cs="Times New Roman"/>
          <w:i/>
          <w:iCs/>
        </w:rPr>
        <w:t>choc</w:t>
      </w:r>
      <w:r>
        <w:rPr>
          <w:rFonts w:eastAsia="Arial" w:cs="Times New Roman"/>
        </w:rPr>
        <w:t xml:space="preserve"> est ajoutée aux notions à connaître</w:t>
      </w:r>
      <w:r>
        <w:rPr>
          <w:rStyle w:val="Ancredenotedebasdepage"/>
          <w:rFonts w:eastAsia="Arial" w:cs="Times New Roman"/>
        </w:rPr>
        <w:footnoteReference w:id="19"/>
      </w:r>
      <w:r>
        <w:rPr>
          <w:rFonts w:eastAsia="Arial" w:cs="Times New Roman"/>
        </w:rPr>
        <w:t>. Il est parfois précisé « </w:t>
      </w:r>
      <w:r>
        <w:rPr>
          <w:rFonts w:eastAsia="Arial" w:cs="Times New Roman"/>
          <w:i/>
          <w:iCs/>
        </w:rPr>
        <w:t>choc exogène</w:t>
      </w:r>
      <w:r>
        <w:rPr>
          <w:rFonts w:eastAsia="Arial" w:cs="Times New Roman"/>
        </w:rPr>
        <w:t> »</w:t>
      </w:r>
      <w:r>
        <w:rPr>
          <w:rStyle w:val="Ancredenotedebasdepage"/>
          <w:rFonts w:eastAsia="Arial" w:cs="Times New Roman"/>
        </w:rPr>
        <w:footnoteReference w:id="20"/>
      </w:r>
      <w:r>
        <w:rPr>
          <w:rFonts w:eastAsia="Arial" w:cs="Times New Roman"/>
        </w:rPr>
        <w:t>, mais les définitions données ne laissent jamais de doute sur ce caractère, qui est donc implicite. Ces définitions sont le plus souvent assez vagues quant à la nature desdits chocs</w:t>
      </w:r>
      <w:r>
        <w:rPr>
          <w:rStyle w:val="Ancredenotedebasdepage"/>
          <w:rFonts w:eastAsia="Arial" w:cs="Times New Roman"/>
        </w:rPr>
        <w:footnoteReference w:id="21"/>
      </w:r>
      <w:r>
        <w:rPr>
          <w:rFonts w:eastAsia="Arial" w:cs="Times New Roman"/>
        </w:rPr>
        <w:t>, évoquant des « </w:t>
      </w:r>
      <w:r>
        <w:rPr>
          <w:rFonts w:eastAsia="Arial" w:cs="Times New Roman"/>
          <w:i/>
          <w:iCs/>
        </w:rPr>
        <w:t>évènements</w:t>
      </w:r>
      <w:r>
        <w:rPr>
          <w:rFonts w:eastAsia="Arial" w:cs="Times New Roman"/>
        </w:rPr>
        <w:t> », des « </w:t>
      </w:r>
      <w:r>
        <w:rPr>
          <w:rFonts w:eastAsia="Arial" w:cs="Times New Roman"/>
          <w:i/>
          <w:iCs/>
        </w:rPr>
        <w:t>variations</w:t>
      </w:r>
      <w:r>
        <w:rPr>
          <w:rFonts w:eastAsia="Arial" w:cs="Times New Roman"/>
        </w:rPr>
        <w:t> », des « </w:t>
      </w:r>
      <w:r>
        <w:rPr>
          <w:rFonts w:eastAsia="Arial" w:cs="Times New Roman"/>
          <w:i/>
          <w:iCs/>
        </w:rPr>
        <w:t>modifications</w:t>
      </w:r>
      <w:r>
        <w:rPr>
          <w:rFonts w:eastAsia="Arial" w:cs="Times New Roman"/>
        </w:rPr>
        <w:t> », des « </w:t>
      </w:r>
      <w:r>
        <w:rPr>
          <w:rFonts w:eastAsia="Arial" w:cs="Times New Roman"/>
          <w:i/>
          <w:iCs/>
        </w:rPr>
        <w:t>impulsions</w:t>
      </w:r>
      <w:r>
        <w:rPr>
          <w:rFonts w:eastAsia="Arial" w:cs="Times New Roman"/>
        </w:rPr>
        <w:t> », voire des « </w:t>
      </w:r>
      <w:r>
        <w:rPr>
          <w:rFonts w:eastAsia="Arial" w:cs="Times New Roman"/>
          <w:i/>
          <w:iCs/>
        </w:rPr>
        <w:t>facteurs</w:t>
      </w:r>
      <w:r>
        <w:rPr>
          <w:rFonts w:eastAsia="Arial" w:cs="Times New Roman"/>
        </w:rPr>
        <w:t> » ; seules deux d'entre elles en précisent le caractère « </w:t>
      </w:r>
      <w:r>
        <w:rPr>
          <w:rFonts w:eastAsia="Arial" w:cs="Times New Roman"/>
          <w:i/>
          <w:iCs/>
        </w:rPr>
        <w:t>inattendu</w:t>
      </w:r>
      <w:r>
        <w:rPr>
          <w:rFonts w:eastAsia="Arial" w:cs="Times New Roman"/>
        </w:rPr>
        <w:t> » ou « </w:t>
      </w:r>
      <w:r>
        <w:rPr>
          <w:rFonts w:eastAsia="Arial" w:cs="Times New Roman"/>
          <w:i/>
          <w:iCs/>
        </w:rPr>
        <w:t>imprévu</w:t>
      </w:r>
      <w:r>
        <w:rPr>
          <w:rFonts w:eastAsia="Arial" w:cs="Times New Roman"/>
        </w:rPr>
        <w:t> ». Mais l'essentiel apparaît dans la définition évoquée supra des chocs « </w:t>
      </w:r>
      <w:r>
        <w:rPr>
          <w:rFonts w:eastAsia="Arial" w:cs="Times New Roman"/>
          <w:i/>
          <w:iCs/>
        </w:rPr>
        <w:t>exogènes</w:t>
      </w:r>
      <w:r>
        <w:rPr>
          <w:rFonts w:eastAsia="Arial" w:cs="Times New Roman"/>
        </w:rPr>
        <w:t> » : « </w:t>
      </w:r>
      <w:r>
        <w:rPr>
          <w:rFonts w:eastAsia="Arial" w:cs="Times New Roman"/>
          <w:b/>
          <w:bCs/>
          <w:i/>
          <w:iCs/>
        </w:rPr>
        <w:t>impulsion extérieure à la sphère économique qui a des effets sensibles sur l'économie et qui échappe au contrôle du gouvernement.</w:t>
      </w:r>
      <w:r>
        <w:rPr>
          <w:rFonts w:eastAsia="Arial" w:cs="Times New Roman"/>
        </w:rPr>
        <w:t> ».</w:t>
      </w:r>
    </w:p>
    <w:p>
      <w:pPr>
        <w:pStyle w:val="Normal"/>
        <w:jc w:val="both"/>
        <w:rPr/>
      </w:pPr>
      <w:r>
        <w:rPr>
          <w:rFonts w:eastAsia="Arial" w:cs="Times New Roman"/>
        </w:rPr>
        <w:t>Suivant toujours les « </w:t>
      </w:r>
      <w:r>
        <w:rPr>
          <w:rFonts w:eastAsia="Arial" w:cs="Times New Roman"/>
          <w:i/>
          <w:iCs/>
        </w:rPr>
        <w:t>Indications Complémentaires</w:t>
      </w:r>
      <w:r>
        <w:rPr>
          <w:rFonts w:eastAsia="Arial" w:cs="Times New Roman"/>
        </w:rPr>
        <w:t> », la plupart des supports examinés présentent la notion de « </w:t>
      </w:r>
      <w:r>
        <w:rPr>
          <w:rFonts w:eastAsia="Arial" w:cs="Times New Roman"/>
          <w:i/>
          <w:iCs/>
        </w:rPr>
        <w:t>cycle du crédit</w:t>
      </w:r>
      <w:r>
        <w:rPr>
          <w:rFonts w:eastAsia="Arial" w:cs="Times New Roman"/>
        </w:rPr>
        <w:t> ». La plupart du temps cette notion est définie « </w:t>
      </w:r>
      <w:r>
        <w:rPr>
          <w:rFonts w:eastAsia="Arial" w:cs="Times New Roman"/>
          <w:i/>
          <w:iCs/>
        </w:rPr>
        <w:t>simplement</w:t>
      </w:r>
      <w:r>
        <w:rPr>
          <w:rStyle w:val="Ancredenotedebasdepage"/>
          <w:rFonts w:eastAsia="Arial" w:cs="Times New Roman"/>
          <w:i/>
          <w:iCs/>
        </w:rPr>
        <w:footnoteReference w:id="22"/>
      </w:r>
      <w:r>
        <w:rPr>
          <w:rFonts w:eastAsia="Arial" w:cs="Times New Roman"/>
        </w:rPr>
        <w:t> » : l'accès au crédit est plus facile en phase d'expansion, et inversement en phase de récession, ce qui amplifie les fluctuations. Retenons au demeurant la définition donnée par la fiche émanant du ministère :</w:t>
      </w:r>
    </w:p>
    <w:p>
      <w:pPr>
        <w:pStyle w:val="Normal"/>
        <w:jc w:val="both"/>
        <w:rPr>
          <w:rFonts w:eastAsia="Arial" w:cs="Times New Roman"/>
        </w:rPr>
      </w:pPr>
      <w:r>
        <w:rPr>
          <w:rFonts w:eastAsia="Arial" w:cs="Times New Roman"/>
        </w:rPr>
        <w:t>« </w:t>
      </w:r>
      <w:r>
        <w:rPr>
          <w:rFonts w:eastAsia="Arial" w:cs="Times New Roman"/>
          <w:i/>
          <w:iCs/>
        </w:rPr>
        <w:t xml:space="preserve">Il contribue à expliquer le caractère </w:t>
      </w:r>
      <w:r>
        <w:rPr>
          <w:rFonts w:eastAsia="Arial" w:cs="Times New Roman"/>
          <w:b/>
          <w:bCs/>
          <w:i/>
          <w:iCs/>
        </w:rPr>
        <w:t>endogène</w:t>
      </w:r>
      <w:r>
        <w:rPr>
          <w:rFonts w:eastAsia="Arial" w:cs="Times New Roman"/>
          <w:i/>
          <w:iCs/>
        </w:rPr>
        <w:t xml:space="preserve"> de l'instabilité de la croissance. En période d'expansion économique, surtout si la situation économique est saine (faible taux d'intérêt, faible inflation), le « paradoxe de la tranquillité » (H. Minsky) joue (...)</w:t>
      </w:r>
      <w:r>
        <w:rPr>
          <w:rFonts w:eastAsia="Arial" w:cs="Times New Roman"/>
        </w:rPr>
        <w:t> ».</w:t>
      </w:r>
    </w:p>
    <w:p>
      <w:pPr>
        <w:pStyle w:val="Normal"/>
        <w:jc w:val="both"/>
        <w:rPr>
          <w:rFonts w:eastAsia="Arial" w:cs="Times New Roman"/>
        </w:rPr>
      </w:pPr>
      <w:r>
        <w:rPr>
          <w:rFonts w:eastAsia="Arial" w:cs="Times New Roman"/>
          <w:color w:val="000000"/>
        </w:rPr>
        <w:t>L'examen de tous ces supports révèle ensuite la prédominance d'un schéma explicatif de la crise actuelle combinant chocs exogènes et cycle du crédit, les chocs pouvant recouvrir toutes sortes de « </w:t>
      </w:r>
      <w:r>
        <w:rPr>
          <w:rFonts w:eastAsia="Arial" w:cs="Times New Roman"/>
          <w:i/>
          <w:iCs/>
          <w:color w:val="000000"/>
        </w:rPr>
        <w:t>variations</w:t>
      </w:r>
      <w:r>
        <w:rPr>
          <w:rFonts w:eastAsia="Arial" w:cs="Times New Roman"/>
          <w:color w:val="000000"/>
        </w:rPr>
        <w:t> » et le cycle du crédit pouvant facilement s'identifier dans l'observation des évènements monétaires et financiers ayant précédé la crise actuelle, d'abord, et dans celle des suites de celle-ci.</w:t>
      </w:r>
      <w:r>
        <w:rPr>
          <w:rFonts w:eastAsia="Arial" w:cs="Times New Roman"/>
        </w:rPr>
        <w:t xml:space="preserve"> </w:t>
      </w:r>
    </w:p>
    <w:p>
      <w:pPr>
        <w:pStyle w:val="Normal"/>
        <w:jc w:val="both"/>
        <w:rPr>
          <w:rFonts w:eastAsia="Arial" w:cs="Times New Roman"/>
        </w:rPr>
      </w:pPr>
      <w:r>
        <w:rPr>
          <w:rFonts w:eastAsia="Arial" w:cs="Times New Roman"/>
        </w:rPr>
        <w:t>Mais des particularités relevées dans certaines présentations, bien que minoritaires, permettent d'amorcer un questionnement.</w:t>
      </w:r>
    </w:p>
    <w:p>
      <w:pPr>
        <w:pStyle w:val="Normal"/>
        <w:jc w:val="both"/>
        <w:rPr>
          <w:rFonts w:eastAsia="Arial" w:cs="Times New Roman"/>
          <w:b/>
          <w:b/>
          <w:bCs/>
          <w:color w:val="000000"/>
        </w:rPr>
      </w:pPr>
      <w:r>
        <w:rPr>
          <w:rFonts w:eastAsia="Arial" w:cs="Times New Roman"/>
          <w:b/>
          <w:bCs/>
          <w:color w:val="000000"/>
        </w:rPr>
      </w:r>
    </w:p>
    <w:p>
      <w:pPr>
        <w:pStyle w:val="Normal"/>
        <w:jc w:val="both"/>
        <w:rPr>
          <w:rFonts w:eastAsia="Arial" w:cs="Times New Roman"/>
          <w:b/>
          <w:b/>
          <w:bCs/>
          <w:color w:val="000000"/>
        </w:rPr>
      </w:pPr>
      <w:r>
        <w:rPr>
          <w:rFonts w:eastAsia="Arial" w:cs="Times New Roman"/>
          <w:b/>
          <w:bCs/>
          <w:color w:val="000000"/>
        </w:rPr>
        <w:t>I-2. Certains supports s'écartent de cette présentation</w:t>
      </w:r>
    </w:p>
    <w:p>
      <w:pPr>
        <w:pStyle w:val="Normal"/>
        <w:jc w:val="both"/>
        <w:rPr>
          <w:rFonts w:eastAsia="Arial" w:cs="Times New Roman"/>
        </w:rPr>
      </w:pPr>
      <w:r>
        <w:rPr>
          <w:rFonts w:eastAsia="Arial" w:cs="Times New Roman"/>
        </w:rPr>
      </w:r>
    </w:p>
    <w:p>
      <w:pPr>
        <w:pStyle w:val="Normal"/>
        <w:jc w:val="both"/>
        <w:rPr>
          <w:rFonts w:eastAsia="Arial" w:cs="Times New Roman"/>
        </w:rPr>
      </w:pPr>
      <w:r>
        <w:rPr>
          <w:rFonts w:eastAsia="Arial" w:cs="Times New Roman"/>
        </w:rPr>
        <w:t xml:space="preserve">Quatre de ces présentations comportent une différence, secondaire mais intéressante. </w:t>
      </w:r>
    </w:p>
    <w:p>
      <w:pPr>
        <w:pStyle w:val="Normal"/>
        <w:jc w:val="both"/>
        <w:rPr>
          <w:rFonts w:eastAsia="Arial" w:cs="Times New Roman"/>
        </w:rPr>
      </w:pPr>
      <w:r>
        <w:rPr>
          <w:rFonts w:eastAsia="Arial" w:cs="Times New Roman"/>
          <w:color w:val="000000"/>
        </w:rPr>
        <w:t>Ainsi l'un des manuels signale, à la fin de la définition des chocs, que « </w:t>
      </w:r>
      <w:r>
        <w:rPr>
          <w:rFonts w:eastAsia="Arial" w:cs="Times New Roman"/>
          <w:i/>
          <w:iCs/>
          <w:color w:val="000000"/>
        </w:rPr>
        <w:t>certaines analyses réfutent cette notion de choc exogène, et imputent les fluctuations aux structures de l'économie de marché, dont elles contestent le caractère autoéquilibrant</w:t>
      </w:r>
      <w:r>
        <w:rPr>
          <w:rFonts w:eastAsia="Arial" w:cs="Times New Roman"/>
          <w:color w:val="000000"/>
        </w:rPr>
        <w:t> ».</w:t>
      </w:r>
      <w:r>
        <w:rPr>
          <w:rFonts w:eastAsia="Arial" w:cs="Times New Roman"/>
        </w:rPr>
        <w:t xml:space="preserve"> Mais la synthèse du chapitre ne retient pas cette réserve : pourquoi cette réfutation n'est-elle pas retenue parmi les contenus que les élèves doivent apprendre, et encore moins explicitée ?</w:t>
      </w:r>
    </w:p>
    <w:p>
      <w:pPr>
        <w:pStyle w:val="Normal"/>
        <w:jc w:val="both"/>
        <w:rPr/>
      </w:pPr>
      <w:r>
        <w:rPr>
          <w:rFonts w:eastAsia="Arial" w:cs="Times New Roman"/>
        </w:rPr>
        <w:t>Dans le même ordre d'idées, la fiche ressources publiée par le ministère</w:t>
      </w:r>
      <w:r>
        <w:rPr>
          <w:rStyle w:val="Ancredenotedebasdepage"/>
          <w:rFonts w:eastAsia="Arial" w:cs="Times New Roman"/>
        </w:rPr>
        <w:footnoteReference w:id="23"/>
      </w:r>
      <w:r>
        <w:rPr>
          <w:rFonts w:eastAsia="Arial" w:cs="Times New Roman"/>
        </w:rPr>
        <w:t xml:space="preserve"> conclut la partie consacrée aux explications des fluctuations en indiquant que la thèse de Jacques Rueff, soutenant que la déflation pourrait « </w:t>
      </w:r>
      <w:r>
        <w:rPr>
          <w:rFonts w:eastAsia="Arial" w:cs="Times New Roman"/>
          <w:i/>
          <w:iCs/>
        </w:rPr>
        <w:t>assainir</w:t>
      </w:r>
      <w:r>
        <w:rPr>
          <w:rFonts w:eastAsia="Arial" w:cs="Times New Roman"/>
        </w:rPr>
        <w:t> » l'économie, a fait l'objet d'une « </w:t>
      </w:r>
      <w:r>
        <w:rPr>
          <w:rFonts w:eastAsia="Arial" w:cs="Times New Roman"/>
          <w:i/>
          <w:iCs/>
        </w:rPr>
        <w:t>vive contestation</w:t>
      </w:r>
      <w:r>
        <w:rPr>
          <w:rFonts w:eastAsia="Arial" w:cs="Times New Roman"/>
        </w:rPr>
        <w:t> » de la part de Keynes, « </w:t>
      </w:r>
      <w:r>
        <w:rPr>
          <w:rFonts w:eastAsia="Arial" w:cs="Times New Roman"/>
          <w:i/>
          <w:iCs/>
        </w:rPr>
        <w:t>qui souligne que seule l'intervention discrétionnaire de l'État peut permettre un redémarrage de l'activité économique</w:t>
      </w:r>
      <w:r>
        <w:rPr>
          <w:rFonts w:eastAsia="Arial" w:cs="Times New Roman"/>
        </w:rPr>
        <w:t>. ». Mais cette remarque paraît réduite au rôle de transition vers la partie suivante, consacrée au rôle des pouvoirs publics face aux fluctuations économiques et, circonscrite à cette remarque, la « </w:t>
      </w:r>
      <w:r>
        <w:rPr>
          <w:rFonts w:eastAsia="Arial" w:cs="Times New Roman"/>
          <w:i/>
          <w:iCs/>
        </w:rPr>
        <w:t>contestation</w:t>
      </w:r>
      <w:r>
        <w:rPr>
          <w:rFonts w:eastAsia="Arial" w:cs="Times New Roman"/>
        </w:rPr>
        <w:t> » de Keynes n'est pas traitée comme une explication alternative. Pourquoi ?</w:t>
      </w:r>
    </w:p>
    <w:p>
      <w:pPr>
        <w:pStyle w:val="Normal"/>
        <w:jc w:val="both"/>
        <w:rPr>
          <w:rFonts w:eastAsia="Arial" w:cs="Times New Roman"/>
          <w:color w:val="000000"/>
        </w:rPr>
      </w:pPr>
      <w:r>
        <w:rPr>
          <w:rFonts w:eastAsia="Arial" w:cs="Times New Roman"/>
          <w:color w:val="000000"/>
        </w:rPr>
        <w:t>Une autre fiche ressources, enfin, comprend un document où l'on peut lire, à propos du rôle du crédit :</w:t>
      </w:r>
    </w:p>
    <w:p>
      <w:pPr>
        <w:pStyle w:val="Normal"/>
        <w:jc w:val="both"/>
        <w:rPr/>
      </w:pPr>
      <w:r>
        <w:rPr>
          <w:rFonts w:eastAsia="Arial" w:cs="Times New Roman"/>
          <w:color w:val="000000"/>
        </w:rPr>
        <w:t>« </w:t>
      </w:r>
      <w:r>
        <w:rPr>
          <w:i/>
          <w:iCs/>
          <w:color w:val="000000"/>
        </w:rPr>
        <w:t xml:space="preserve">Les phases de boom s’accompagnent inévitablement d’une montée de l’endettement. L’économiste américain Hyman Minsky y voit l’expression d’un </w:t>
      </w:r>
      <w:r>
        <w:rPr>
          <w:rStyle w:val="Accentuation"/>
          <w:color w:val="000000"/>
        </w:rPr>
        <w:t>« paradoxe de la tranquillité ».</w:t>
      </w:r>
      <w:r>
        <w:rPr>
          <w:i/>
          <w:iCs/>
          <w:color w:val="000000"/>
        </w:rPr>
        <w:t xml:space="preserve"> C’est en effet pendant la phase de boom que </w:t>
      </w:r>
      <w:r>
        <w:rPr>
          <w:rStyle w:val="Accentuation"/>
          <w:color w:val="000000"/>
        </w:rPr>
        <w:t>l’instabilité financière</w:t>
      </w:r>
      <w:r>
        <w:rPr>
          <w:i/>
          <w:iCs/>
          <w:color w:val="000000"/>
        </w:rPr>
        <w:t xml:space="preserve"> trouve sa source (…) L’instabilité financière vient des économies capitalistes elles-mêmes.</w:t>
      </w:r>
      <w:r>
        <w:rPr>
          <w:color w:val="000000"/>
        </w:rPr>
        <w:t> ».</w:t>
      </w:r>
      <w:r>
        <w:rPr/>
        <w:t xml:space="preserve"> </w:t>
      </w:r>
    </w:p>
    <w:p>
      <w:pPr>
        <w:pStyle w:val="Normal"/>
        <w:jc w:val="both"/>
        <w:rPr/>
      </w:pPr>
      <w:r>
        <w:rPr/>
        <w:t>Il y a donc place, dans l'enseignement qui s'en saisira, pour un questionnement sur le caractère « </w:t>
      </w:r>
      <w:r>
        <w:rPr>
          <w:i/>
          <w:iCs/>
        </w:rPr>
        <w:t>inévitable</w:t>
      </w:r>
      <w:r>
        <w:rPr/>
        <w:t> », de la montée de l'endettement, voire le caractère inhérent aux «</w:t>
      </w:r>
      <w:r>
        <w:rPr>
          <w:i/>
          <w:iCs/>
        </w:rPr>
        <w:t>économies capitalistes</w:t>
      </w:r>
      <w:r>
        <w:rPr/>
        <w:t> » de cette « </w:t>
      </w:r>
      <w:r>
        <w:rPr>
          <w:i/>
          <w:iCs/>
        </w:rPr>
        <w:t>instabilité financière</w:t>
      </w:r>
      <w:r>
        <w:rPr/>
        <w:t> » : comment l'explique-t-on, en particulier chez Minsky, et cela est-il corroboré par les observations historiques ? Mais la structure de la fiche, et plus particulièrement celle du document dont est extraite cette citation</w:t>
      </w:r>
      <w:r>
        <w:rPr>
          <w:rStyle w:val="Ancredenotedebasdepage"/>
        </w:rPr>
        <w:footnoteReference w:id="24"/>
      </w:r>
      <w:r>
        <w:rPr/>
        <w:t>, ne montrent aucune ressource pour un tel questionnement.</w:t>
      </w:r>
    </w:p>
    <w:p>
      <w:pPr>
        <w:pStyle w:val="Normal"/>
        <w:jc w:val="both"/>
        <w:rPr/>
      </w:pPr>
      <w:r>
        <w:rPr/>
      </w:r>
    </w:p>
    <w:p>
      <w:pPr>
        <w:pStyle w:val="Normal"/>
        <w:jc w:val="both"/>
        <w:rPr>
          <w:color w:val="0000FF"/>
        </w:rPr>
      </w:pPr>
      <w:r>
        <w:rPr>
          <w:color w:val="000000"/>
        </w:rPr>
        <w:t>Certains supports offrent d’autres références</w:t>
      </w:r>
    </w:p>
    <w:p>
      <w:pPr>
        <w:pStyle w:val="Normal"/>
        <w:jc w:val="both"/>
        <w:rPr/>
      </w:pPr>
      <w:r>
        <w:rPr/>
      </w:r>
    </w:p>
    <w:p>
      <w:pPr>
        <w:pStyle w:val="Normal"/>
        <w:jc w:val="both"/>
        <w:rPr/>
      </w:pPr>
      <w:r>
        <w:rPr/>
        <w:t>L'examen de deux autres supports permet d'élargir encore cet ensemble de questions. L'un des cours en ligne contient en effet, à la fin de la partie expliquant les fluctuations, un document intitulé « </w:t>
      </w:r>
      <w:r>
        <w:rPr>
          <w:i/>
          <w:iCs/>
        </w:rPr>
        <w:t>Les inégalités responsables de la crise</w:t>
      </w:r>
      <w:r>
        <w:rPr/>
        <w:t> »</w:t>
      </w:r>
      <w:r>
        <w:rPr>
          <w:rStyle w:val="Ancredenotedebasdepage"/>
        </w:rPr>
        <w:footnoteReference w:id="25"/>
      </w:r>
      <w:r>
        <w:rPr/>
        <w:t>, où l'auteur affirme que :</w:t>
      </w:r>
    </w:p>
    <w:p>
      <w:pPr>
        <w:pStyle w:val="Normal"/>
        <w:jc w:val="both"/>
        <w:rPr/>
      </w:pPr>
      <w:r>
        <w:rPr/>
        <w:t>« </w:t>
      </w:r>
      <w:r>
        <w:rPr>
          <w:i/>
          <w:iCs/>
        </w:rPr>
        <w:t xml:space="preserve">Lʼendettement croissant des ménages et la faiblesse de leur taux dʼépargne, notamment aux États- Unis est, en réalité, la contrepartie du creusement des inégalités qui sʼest opéré au détriment de la plupart dʼentre eux. </w:t>
      </w:r>
      <w:r>
        <w:rPr/>
        <w:t> »</w:t>
      </w:r>
    </w:p>
    <w:p>
      <w:pPr>
        <w:pStyle w:val="Normal"/>
        <w:jc w:val="both"/>
        <w:rPr/>
      </w:pPr>
      <w:r>
        <w:rPr/>
        <w:t>Les élèves, invités à chercher comment l'auteur justifie la responsabilité des inégalités dans le crise, se serviront de cette phrase. Comment aller plus loin, sachant que ce document est donné « </w:t>
      </w:r>
      <w:r>
        <w:rPr>
          <w:i/>
          <w:iCs/>
        </w:rPr>
        <w:t>pour approfondir</w:t>
      </w:r>
      <w:r>
        <w:rPr/>
        <w:t> », mais qu'il est situé à la fin de la partie expliquant les fluctuations par les chocs ? Quels nouveaux outils théoriques permettraient cet approfondissement, en introduisant notamment un nouveau facteur de cet endettement jusqu'ici présenté comme un « </w:t>
      </w:r>
      <w:r>
        <w:rPr>
          <w:i/>
          <w:iCs/>
        </w:rPr>
        <w:t>excès</w:t>
      </w:r>
      <w:r>
        <w:rPr/>
        <w:t> », « </w:t>
      </w:r>
      <w:r>
        <w:rPr>
          <w:i/>
          <w:iCs/>
        </w:rPr>
        <w:t>inévitable</w:t>
      </w:r>
      <w:r>
        <w:rPr/>
        <w:t> » en période de boom ?</w:t>
      </w:r>
    </w:p>
    <w:p>
      <w:pPr>
        <w:pStyle w:val="Normal"/>
        <w:jc w:val="both"/>
        <w:rPr/>
      </w:pPr>
      <w:r>
        <w:rPr/>
        <w:t>La question se repose à l'examen d'un manuel qui se distingue par un relatif pluralisme de ses références théoriques et des schémas explicatifs présentés.</w:t>
      </w:r>
    </w:p>
    <w:p>
      <w:pPr>
        <w:pStyle w:val="Normal"/>
        <w:jc w:val="both"/>
        <w:rPr>
          <w:color w:val="000000"/>
        </w:rPr>
      </w:pPr>
      <w:r>
        <w:rPr>
          <w:color w:val="000000"/>
        </w:rPr>
      </w:r>
    </w:p>
    <w:p>
      <w:pPr>
        <w:pStyle w:val="Normal"/>
        <w:jc w:val="both"/>
        <w:rPr>
          <w:color w:val="000000"/>
        </w:rPr>
      </w:pPr>
      <w:r>
        <w:rPr>
          <w:color w:val="000000"/>
        </w:rPr>
        <w:t>Les références théoriques, en premier lieu, s'élargissent aux économistes classiques, avec une allusion rapide à Marx dans un document de travail</w:t>
      </w:r>
      <w:r>
        <w:rPr>
          <w:rStyle w:val="Ancredenotedebasdepage"/>
          <w:color w:val="000000"/>
        </w:rPr>
        <w:footnoteReference w:id="26"/>
      </w:r>
      <w:r>
        <w:rPr>
          <w:color w:val="000000"/>
        </w:rPr>
        <w:t>, et régulationnistes, à côté de Keynes, Minsky, Fisher et Schumpeter</w:t>
      </w:r>
      <w:r>
        <w:rPr>
          <w:rStyle w:val="Ancredenotedebasdepage"/>
          <w:color w:val="000000"/>
        </w:rPr>
        <w:footnoteReference w:id="27"/>
      </w:r>
      <w:r>
        <w:rPr>
          <w:color w:val="000000"/>
        </w:rPr>
        <w:t xml:space="preserve"> que l'on trouve le plus souvent.</w:t>
      </w:r>
    </w:p>
    <w:p>
      <w:pPr>
        <w:pStyle w:val="Normal"/>
        <w:jc w:val="both"/>
        <w:rPr/>
      </w:pPr>
      <w:r>
        <w:rPr/>
        <w:t>Les schémas explicatifs sont eux aussi divers. En rapport avec les références théoriques évoquées précédemment, on trouve en particulier à propos des crises du dix-neuvième siècle le jeu de la répartition du revenu entre les classes sociales, et les mutations productives contemporaines du point de vue régulationniste. Et ce n'est qu'après la présentation de l'idée de cycle du crédit, d'une part, et du rôle des innovations selon Schumpeter, d'autre part, qu'est présentée l'explication en termes de chocs. Mais il faut noter que la synthèse du chapitre resserre considérablement cet éventail d'explications, en négligeant rôle de la répartition et des mutations productives. Reste néanmoins une opposition entre les explications en termes de processus endogènes – « </w:t>
      </w:r>
      <w:r>
        <w:rPr>
          <w:i/>
          <w:iCs/>
        </w:rPr>
        <w:t>abus de crédit</w:t>
      </w:r>
      <w:r>
        <w:rPr/>
        <w:t> », rôle des innovations selon Schumpeter, variations de l'investissement et de la demande selon Keynes – et celles en termes de chocs, exogènes, présentées comme les « </w:t>
      </w:r>
      <w:r>
        <w:rPr>
          <w:i/>
          <w:iCs/>
        </w:rPr>
        <w:t>interprétations libérales actuelles</w:t>
      </w:r>
      <w:r>
        <w:rPr/>
        <w:t> ».</w:t>
      </w:r>
    </w:p>
    <w:p>
      <w:pPr>
        <w:pStyle w:val="Normal"/>
        <w:jc w:val="both"/>
        <w:rPr/>
      </w:pPr>
      <w:r>
        <w:rPr/>
        <w:t>Si nous ajoutons que parmi les différentes explications présentées seules celles en termes de chocs exogènes font l'objet d'un « </w:t>
      </w:r>
      <w:r>
        <w:rPr>
          <w:i/>
          <w:iCs/>
        </w:rPr>
        <w:t>travail dirigé</w:t>
      </w:r>
      <w:r>
        <w:rPr/>
        <w:t> » dans ce manuel, nous sommes amenés à une dernière question : y aurait-il, dans la sélection des contenus opérée pour les travaux dirigés et  la synthèse, un souci de retour aux Indications Complémentaires du programme, dans la perspective de l'évaluation terminale ?</w:t>
      </w:r>
    </w:p>
    <w:p>
      <w:pPr>
        <w:pStyle w:val="Normal"/>
        <w:jc w:val="both"/>
        <w:rPr>
          <w:rFonts w:eastAsia="Arial" w:cs="Times New Roman"/>
          <w:color w:val="000000"/>
        </w:rPr>
      </w:pPr>
      <w:r>
        <w:rPr>
          <w:rFonts w:eastAsia="Arial" w:cs="Times New Roman"/>
          <w:color w:val="000000"/>
        </w:rPr>
        <w:t>Nous terminerons l'exposé des résultats de l'examen des supports d'enseignement par la présentation des traits saillants d'un dernier cours en ligne. Celui-ci partage avec le manuel qui vient d'être évoqué sa pluralité d'explications et de références théoriques</w:t>
      </w:r>
      <w:r>
        <w:rPr>
          <w:rStyle w:val="Ancredenotedebasdepage"/>
          <w:rFonts w:eastAsia="Arial" w:cs="Times New Roman"/>
          <w:color w:val="000000"/>
        </w:rPr>
        <w:footnoteReference w:id="28"/>
      </w:r>
      <w:r>
        <w:rPr>
          <w:rFonts w:eastAsia="Arial" w:cs="Times New Roman"/>
          <w:color w:val="000000"/>
        </w:rPr>
        <w:t>, et en synthèse nous retrouvons une opposition apparente entre explications en termes exogènes et en termes endogènes, ces dernières intégrant, à côté du rôle des marchés financiers et de celui des innovations, le jeu des inégalités</w:t>
      </w:r>
      <w:r>
        <w:rPr>
          <w:rStyle w:val="Ancredenotedebasdepage"/>
          <w:rFonts w:eastAsia="Arial" w:cs="Times New Roman"/>
          <w:color w:val="000000"/>
        </w:rPr>
        <w:footnoteReference w:id="29"/>
      </w:r>
      <w:r>
        <w:rPr>
          <w:rFonts w:eastAsia="Arial" w:cs="Times New Roman"/>
          <w:color w:val="000000"/>
        </w:rPr>
        <w:t>.</w:t>
      </w:r>
    </w:p>
    <w:p>
      <w:pPr>
        <w:pStyle w:val="Normal"/>
        <w:jc w:val="both"/>
        <w:rPr/>
      </w:pPr>
      <w:r>
        <w:rPr/>
      </w:r>
    </w:p>
    <w:p>
      <w:pPr>
        <w:pStyle w:val="Normal"/>
        <w:jc w:val="both"/>
        <w:rPr/>
      </w:pPr>
      <w:r>
        <w:rPr/>
        <w:t>Résumons les résultats que nous venons d'exposer, avant de rassembler les questions posées.</w:t>
      </w:r>
    </w:p>
    <w:p>
      <w:pPr>
        <w:pStyle w:val="Normal"/>
        <w:jc w:val="both"/>
        <w:rPr>
          <w:color w:val="000000"/>
        </w:rPr>
      </w:pPr>
      <w:r>
        <w:rPr>
          <w:color w:val="000000"/>
        </w:rPr>
        <w:t>Les supports examinés se répartissent en deux catégories :</w:t>
      </w:r>
    </w:p>
    <w:p>
      <w:pPr>
        <w:pStyle w:val="Normal"/>
        <w:numPr>
          <w:ilvl w:val="0"/>
          <w:numId w:val="2"/>
        </w:numPr>
        <w:jc w:val="both"/>
        <w:rPr/>
      </w:pPr>
      <w:r>
        <w:rPr>
          <w:color w:val="000000"/>
        </w:rPr>
        <w:t>L'une, majoritaire, offre une présentation syncrétique implicitement centrée sur le schéma standard en termes de chocs exogènes, autour duquel s'ajoutent des explications complémentaires</w:t>
      </w:r>
      <w:r>
        <w:rPr>
          <w:rStyle w:val="Ancredenotedebasdepage"/>
          <w:color w:val="000000"/>
        </w:rPr>
        <w:footnoteReference w:id="30"/>
      </w:r>
      <w:r>
        <w:rPr>
          <w:color w:val="000000"/>
        </w:rPr>
        <w:t xml:space="preserve"> – phénomènes monétaires et financiers,  dynamique de l'investissement et jeu des innovations – que l'on a séparées de leur matrice théorique. Ces phénomènes  ou processus-là sont de ce fait réduits au rang de perturbations plus ou moins durables de l'équilibre</w:t>
      </w:r>
      <w:r>
        <w:rPr>
          <w:rStyle w:val="Ancredenotedebasdepage"/>
          <w:color w:val="000000"/>
        </w:rPr>
        <w:footnoteReference w:id="31"/>
      </w:r>
      <w:r>
        <w:rPr>
          <w:color w:val="000000"/>
        </w:rPr>
        <w:t xml:space="preserve"> du système de marchés.</w:t>
      </w:r>
    </w:p>
    <w:p>
      <w:pPr>
        <w:pStyle w:val="Normal"/>
        <w:numPr>
          <w:ilvl w:val="0"/>
          <w:numId w:val="2"/>
        </w:numPr>
        <w:jc w:val="both"/>
        <w:rPr>
          <w:color w:val="000000"/>
        </w:rPr>
      </w:pPr>
      <w:r>
        <w:rPr>
          <w:color w:val="000000"/>
        </w:rPr>
        <w:t>L'autre rassemble des présentations qui s'écartent plus ou moins de la précédente, depuis l'altération ponctuelle qui disparaît en synthèse jusqu'à l'offre d'une pluralité d'explications et de références théoriques.</w:t>
      </w:r>
    </w:p>
    <w:p>
      <w:pPr>
        <w:pStyle w:val="Normal"/>
        <w:jc w:val="both"/>
        <w:rPr/>
      </w:pPr>
      <w:r>
        <w:rPr/>
        <w:t>La première catégorie confond, par son syncrétisme, ce qui originellement constitue un ensemble d'explications à distinguer entre elles, pour les confronter. Ce n'est que séparées de leur matrice théorique que des explications qui avancent des origines endogènes, divergeant ainsi de la conception néo-classique</w:t>
      </w:r>
      <w:r>
        <w:rPr>
          <w:rStyle w:val="Ancredenotedebasdepage"/>
        </w:rPr>
        <w:footnoteReference w:id="32"/>
      </w:r>
      <w:r>
        <w:rPr/>
        <w:t xml:space="preserve"> d'une économie de marché(s) autorégulée, apparaissent cohérentes avec le modèle explicatif de l'économie standard. </w:t>
      </w:r>
      <w:r>
        <w:rPr>
          <w:color w:val="000000"/>
        </w:rPr>
        <w:t xml:space="preserve">Or ce dernier peut être l'objet de questions : </w:t>
      </w:r>
    </w:p>
    <w:p>
      <w:pPr>
        <w:pStyle w:val="Normal"/>
        <w:numPr>
          <w:ilvl w:val="0"/>
          <w:numId w:val="3"/>
        </w:numPr>
        <w:jc w:val="both"/>
        <w:rPr/>
      </w:pPr>
      <w:r>
        <w:rPr>
          <w:rFonts w:eastAsia="Arial" w:cs="Times New Roman"/>
          <w:color w:val="000000"/>
        </w:rPr>
        <w:t>Comment la « </w:t>
      </w:r>
      <w:r>
        <w:rPr>
          <w:rFonts w:eastAsia="Arial" w:cs="Times New Roman"/>
          <w:i/>
          <w:iCs/>
          <w:color w:val="000000"/>
        </w:rPr>
        <w:t>sphère économique</w:t>
      </w:r>
      <w:r>
        <w:rPr>
          <w:rFonts w:eastAsia="Arial" w:cs="Times New Roman"/>
          <w:color w:val="000000"/>
        </w:rPr>
        <w:t> »</w:t>
      </w:r>
      <w:r>
        <w:rPr>
          <w:rStyle w:val="Ancredenotedebasdepage"/>
          <w:rFonts w:eastAsia="Arial" w:cs="Times New Roman"/>
          <w:color w:val="000000"/>
        </w:rPr>
        <w:footnoteReference w:id="33"/>
      </w:r>
      <w:r>
        <w:rPr>
          <w:rFonts w:eastAsia="Arial" w:cs="Times New Roman"/>
          <w:color w:val="000000"/>
        </w:rPr>
        <w:t xml:space="preserve"> est-elle définie, pour que selon ce schéma rien d'endogène ne puisse y provoquer de crise ?</w:t>
      </w:r>
    </w:p>
    <w:p>
      <w:pPr>
        <w:pStyle w:val="Normal"/>
        <w:numPr>
          <w:ilvl w:val="0"/>
          <w:numId w:val="4"/>
        </w:numPr>
        <w:jc w:val="both"/>
        <w:rPr>
          <w:rFonts w:eastAsia="Arial" w:cs="Times New Roman"/>
          <w:color w:val="000000"/>
        </w:rPr>
      </w:pPr>
      <w:r>
        <w:rPr>
          <w:rFonts w:eastAsia="Arial" w:cs="Times New Roman"/>
          <w:color w:val="000000"/>
        </w:rPr>
        <w:t>Comment est conçue la relation entre la « </w:t>
      </w:r>
      <w:r>
        <w:rPr>
          <w:rFonts w:eastAsia="Arial" w:cs="Times New Roman"/>
          <w:i/>
          <w:iCs/>
          <w:color w:val="000000"/>
        </w:rPr>
        <w:t>sphère financière</w:t>
      </w:r>
      <w:r>
        <w:rPr>
          <w:rFonts w:eastAsia="Arial" w:cs="Times New Roman"/>
          <w:color w:val="000000"/>
        </w:rPr>
        <w:t> » - ou « </w:t>
      </w:r>
      <w:r>
        <w:rPr>
          <w:rFonts w:eastAsia="Arial" w:cs="Times New Roman"/>
          <w:i/>
          <w:iCs/>
          <w:color w:val="000000"/>
        </w:rPr>
        <w:t>les activités monétaires et financières</w:t>
      </w:r>
      <w:r>
        <w:rPr>
          <w:rFonts w:eastAsia="Arial" w:cs="Times New Roman"/>
          <w:color w:val="000000"/>
        </w:rPr>
        <w:t> » - et cette « </w:t>
      </w:r>
      <w:r>
        <w:rPr>
          <w:rFonts w:eastAsia="Arial" w:cs="Times New Roman"/>
          <w:i/>
          <w:iCs/>
          <w:color w:val="000000"/>
        </w:rPr>
        <w:t>sphère économique</w:t>
      </w:r>
      <w:r>
        <w:rPr>
          <w:rFonts w:eastAsia="Arial" w:cs="Times New Roman"/>
          <w:color w:val="000000"/>
        </w:rPr>
        <w:t> » ?</w:t>
      </w:r>
    </w:p>
    <w:p>
      <w:pPr>
        <w:pStyle w:val="Normal"/>
        <w:jc w:val="both"/>
        <w:rPr/>
      </w:pPr>
      <w:r>
        <w:rPr/>
        <w:t xml:space="preserve">Mais la seconde catégorie regroupe des supports dont la présentation s'écarte du syncrétisme de la présentation dominante. Sans négliger les questions didactiques déjà posées, nous sommes conduits alors à analyser cet état des contenus d'enseignement au sujet de la crise actuelle : </w:t>
      </w:r>
      <w:r>
        <w:rPr>
          <w:color w:val="000000"/>
        </w:rPr>
        <w:t>pourquoi cette diversité</w:t>
      </w:r>
      <w:r>
        <w:rPr/>
        <w:t>, où domine une présentation inspirée de l'économie standard, d'autant plus fortement qu'elle est consacrée par les notions du programme et ses Indications Complémentaires ?  Cette interrogation est renforcée par l'examen d'un manuel ancien</w:t>
      </w:r>
      <w:r>
        <w:rPr>
          <w:rStyle w:val="Ancredenotedebasdepage"/>
        </w:rPr>
        <w:footnoteReference w:id="34"/>
      </w:r>
      <w:r>
        <w:rPr/>
        <w:t>. Celui-ci traitant un ancien programme et, surtout, étudiant une autre crise que celle-ci, la comparaison présente intérêt et limites. En effet, son intérêt réside dans la qualification commune de crise, qui autorise en particulier à se demander pourquoi les schémas explicatifs présentés alors ne le sont plus aujourd'hui. Mais il faut aussi évoquer les limites de la comparaison, dès lors que la crise actuelle se différencie de celle des années 1970 par son déclenchement financier. Cela autorise alors certains auteurs à récuser les explications de 1981 : « l'objet » a changé. Mais nous pouvons en retour questionner les contenus actuels. En quoi le schéma standard rend-il mieux compte de l'objet « crise actuelle »</w:t>
      </w:r>
      <w:r>
        <w:rPr>
          <w:rStyle w:val="Ancredenotedebasdepage"/>
        </w:rPr>
        <w:footnoteReference w:id="35"/>
      </w:r>
      <w:r>
        <w:rPr/>
        <w:t xml:space="preserve">, dans sa dynamique, intégrant la dimension financière, que des schémas tels que ceux qui ont été exclus, alors que certains d'entre eux, sinon tous, ont aussi intégré cette dimension ? </w:t>
      </w:r>
    </w:p>
    <w:p>
      <w:pPr>
        <w:pStyle w:val="Normal"/>
        <w:jc w:val="both"/>
        <w:rPr/>
      </w:pPr>
      <w:r>
        <w:rPr/>
        <w:t xml:space="preserve">Cherchons à présent ce qui fonde les choix de contenus opérés. </w:t>
      </w:r>
    </w:p>
    <w:p>
      <w:pPr>
        <w:pStyle w:val="Normal"/>
        <w:jc w:val="both"/>
        <w:rPr/>
      </w:pPr>
      <w:r>
        <w:rPr/>
      </w:r>
    </w:p>
    <w:p>
      <w:pPr>
        <w:pStyle w:val="Normal"/>
        <w:jc w:val="both"/>
        <w:rPr>
          <w:b/>
          <w:b/>
          <w:bCs/>
          <w:sz w:val="28"/>
          <w:szCs w:val="28"/>
        </w:rPr>
      </w:pPr>
      <w:r>
        <w:rPr>
          <w:b/>
          <w:bCs/>
          <w:sz w:val="28"/>
          <w:szCs w:val="28"/>
        </w:rPr>
        <w:t>II – Les SES enseignent la crise actuelle à partir du lexique contemporain</w:t>
      </w:r>
    </w:p>
    <w:p>
      <w:pPr>
        <w:pStyle w:val="Normal"/>
        <w:jc w:val="both"/>
        <w:rPr/>
      </w:pPr>
      <w:r>
        <w:rPr/>
      </w:r>
    </w:p>
    <w:p>
      <w:pPr>
        <w:pStyle w:val="Normal"/>
        <w:jc w:val="both"/>
        <w:rPr/>
      </w:pPr>
      <w:r>
        <w:rPr/>
        <w:t>La sélection des « </w:t>
      </w:r>
      <w:r>
        <w:rPr>
          <w:i/>
          <w:iCs/>
        </w:rPr>
        <w:t>principaux schémas explicatifs</w:t>
      </w:r>
      <w:r>
        <w:rPr/>
        <w:t> », fortement suggérée par les Indications Complémentaires du programme, aboutit essentiellement, comme nous venons de le montrer, à centrer la présentation de la crise actuelle sur le schéma qu'en donne le modèle standard, fondé sur la conception néo-classique de l'économie, en y adjoignant le cas échéant des éléments empruntés à d'autres conceptions après les avoir séparés de leur matrice théorique. C'est selon nous le signe d'effets de lexique.</w:t>
      </w:r>
    </w:p>
    <w:p>
      <w:pPr>
        <w:pStyle w:val="Normal"/>
        <w:jc w:val="both"/>
        <w:rPr>
          <w:color w:val="000000"/>
        </w:rPr>
      </w:pPr>
      <w:r>
        <w:rPr>
          <w:color w:val="000000"/>
        </w:rPr>
        <w:t xml:space="preserve">Il convient d'examiner d'abord l'état des connaissances en économie, afin d'expliciter les références théoriques des contenus observés. Nous pourrons ensuite relier ces contenus au lexique à l'œuvre aujourd'hui. </w:t>
      </w:r>
    </w:p>
    <w:p>
      <w:pPr>
        <w:pStyle w:val="Normal"/>
        <w:jc w:val="both"/>
        <w:rPr>
          <w:color w:val="000000"/>
        </w:rPr>
      </w:pPr>
      <w:r>
        <w:rPr>
          <w:color w:val="000000"/>
        </w:rPr>
      </w:r>
    </w:p>
    <w:p>
      <w:pPr>
        <w:pStyle w:val="Normal"/>
        <w:jc w:val="both"/>
        <w:rPr>
          <w:b/>
          <w:b/>
          <w:bCs/>
          <w:color w:val="000000"/>
          <w:sz w:val="26"/>
          <w:szCs w:val="26"/>
        </w:rPr>
      </w:pPr>
      <w:r>
        <w:rPr>
          <w:b/>
          <w:bCs/>
          <w:color w:val="000000"/>
          <w:sz w:val="26"/>
          <w:szCs w:val="26"/>
        </w:rPr>
        <w:t>II-1. Quelles références théoriques pour ces présentations de la crise ?</w:t>
      </w:r>
    </w:p>
    <w:p>
      <w:pPr>
        <w:pStyle w:val="Normal"/>
        <w:jc w:val="both"/>
        <w:rPr/>
      </w:pPr>
      <w:r>
        <w:rPr/>
      </w:r>
    </w:p>
    <w:p>
      <w:pPr>
        <w:pStyle w:val="Normal"/>
        <w:jc w:val="both"/>
        <w:rPr/>
      </w:pPr>
      <w:r>
        <w:rPr/>
        <w:t>Ces présentations interpellent avant tout sur ce qu'on désigne, précisément, par « </w:t>
      </w:r>
      <w:r>
        <w:rPr>
          <w:i/>
          <w:iCs/>
        </w:rPr>
        <w:t>économie</w:t>
      </w:r>
      <w:r>
        <w:rPr/>
        <w:t> », dans la présentation standard :</w:t>
      </w:r>
    </w:p>
    <w:p>
      <w:pPr>
        <w:pStyle w:val="Normal"/>
        <w:numPr>
          <w:ilvl w:val="0"/>
          <w:numId w:val="5"/>
        </w:numPr>
        <w:jc w:val="both"/>
        <w:rPr/>
      </w:pPr>
      <w:r>
        <w:rPr/>
        <w:t>En quoi les éléments qualifiés de « </w:t>
      </w:r>
      <w:r>
        <w:rPr>
          <w:i/>
          <w:iCs/>
        </w:rPr>
        <w:t>chocs</w:t>
      </w:r>
      <w:r>
        <w:rPr/>
        <w:t> » sont-ils « </w:t>
      </w:r>
      <w:r>
        <w:rPr>
          <w:i/>
          <w:iCs/>
        </w:rPr>
        <w:t>extérieurs</w:t>
      </w:r>
      <w:r>
        <w:rPr/>
        <w:t> » à l'économie ?</w:t>
      </w:r>
    </w:p>
    <w:p>
      <w:pPr>
        <w:pStyle w:val="Normal"/>
        <w:numPr>
          <w:ilvl w:val="0"/>
          <w:numId w:val="5"/>
        </w:numPr>
        <w:jc w:val="both"/>
        <w:rPr/>
      </w:pPr>
      <w:r>
        <w:rPr/>
        <w:t>Les activités monétaires et financières, en particulier, sont-elles « </w:t>
      </w:r>
      <w:r>
        <w:rPr>
          <w:i/>
          <w:iCs/>
        </w:rPr>
        <w:t>extérieures</w:t>
      </w:r>
      <w:r>
        <w:rPr/>
        <w:t> » à l'économie, désignée comme « </w:t>
      </w:r>
      <w:r>
        <w:rPr>
          <w:i/>
          <w:iCs/>
        </w:rPr>
        <w:t>économie réelle</w:t>
      </w:r>
      <w:r>
        <w:rPr/>
        <w:t> » , de telle sorte que leur dynamique est autonome ?</w:t>
      </w:r>
    </w:p>
    <w:p>
      <w:pPr>
        <w:pStyle w:val="Normal"/>
        <w:jc w:val="both"/>
        <w:rPr/>
      </w:pPr>
      <w:r>
        <w:rPr/>
        <w:t>Il faut ensuite expliquer pourquoi les « </w:t>
      </w:r>
      <w:r>
        <w:rPr>
          <w:i/>
          <w:iCs/>
        </w:rPr>
        <w:t>inégalités</w:t>
      </w:r>
      <w:r>
        <w:rPr/>
        <w:t> », que certains manuels ou cours évoquent dans leur présentation, ne trouvent pas place dans les schémas explicatifs retenus.</w:t>
      </w:r>
    </w:p>
    <w:p>
      <w:pPr>
        <w:pStyle w:val="Normal"/>
        <w:jc w:val="both"/>
        <w:rPr>
          <w:b/>
          <w:b/>
          <w:bCs/>
        </w:rPr>
      </w:pPr>
      <w:r>
        <w:rPr>
          <w:b/>
          <w:bCs/>
        </w:rPr>
      </w:r>
    </w:p>
    <w:p>
      <w:pPr>
        <w:pStyle w:val="Normal"/>
        <w:jc w:val="both"/>
        <w:rPr>
          <w:b/>
          <w:b/>
          <w:bCs/>
        </w:rPr>
      </w:pPr>
      <w:r>
        <w:rPr>
          <w:b/>
          <w:bCs/>
        </w:rPr>
        <w:t>II-1.1. Une définition réductrice de l'économie</w:t>
      </w:r>
    </w:p>
    <w:p>
      <w:pPr>
        <w:pStyle w:val="Normal"/>
        <w:jc w:val="both"/>
        <w:rPr/>
      </w:pPr>
      <w:r>
        <w:rPr/>
      </w:r>
    </w:p>
    <w:p>
      <w:pPr>
        <w:pStyle w:val="Normal"/>
        <w:jc w:val="both"/>
        <w:rPr/>
      </w:pPr>
      <w:r>
        <w:rPr/>
        <w:t>S'il faut autoriser le langage savant à s'écarter de l'acception commune dans l'usage de ses concepts, nous pouvons néanmoins partir de l'idée qu'un « </w:t>
      </w:r>
      <w:r>
        <w:rPr>
          <w:i/>
          <w:iCs/>
        </w:rPr>
        <w:t>choc</w:t>
      </w:r>
      <w:r>
        <w:rPr/>
        <w:t> » est un événement brutal, imprévisible et d'origine extérieure, comme l'explicitent certains manuels ou autres supports examinés. Et personne ne contestera qu'un tremblement de terre en est un bon exemple, susceptible d'affecter l'économie d'un pays ou d'un ensemble de pays, si l'on désigne par « </w:t>
      </w:r>
      <w:r>
        <w:rPr>
          <w:i/>
          <w:iCs/>
        </w:rPr>
        <w:t>économie</w:t>
      </w:r>
      <w:r>
        <w:rPr/>
        <w:t xml:space="preserve"> » ce champ des activités sociales qui concerne l'approvisionnement matériel.   </w:t>
      </w:r>
    </w:p>
    <w:p>
      <w:pPr>
        <w:pStyle w:val="Normal"/>
        <w:jc w:val="both"/>
        <w:rPr/>
      </w:pPr>
      <w:r>
        <w:rPr/>
        <w:t xml:space="preserve">Mais bien d'autres exemples relevés dans notre examen suscitent l'étonnement. </w:t>
      </w:r>
    </w:p>
    <w:p>
      <w:pPr>
        <w:pStyle w:val="Normal"/>
        <w:jc w:val="both"/>
        <w:rPr/>
      </w:pPr>
      <w:r>
        <w:rPr/>
        <w:t>Du côté des « </w:t>
      </w:r>
      <w:r>
        <w:rPr>
          <w:i/>
          <w:iCs/>
        </w:rPr>
        <w:t>chocs d'offre</w:t>
      </w:r>
      <w:r>
        <w:rPr/>
        <w:t> », citer en exemple l'organisation taylorienne</w:t>
      </w:r>
      <w:r>
        <w:rPr>
          <w:rStyle w:val="Ancredenotedebasdepage"/>
        </w:rPr>
        <w:footnoteReference w:id="36"/>
      </w:r>
      <w:r>
        <w:rPr/>
        <w:t xml:space="preserve"> du travail amène à se demander en quoi son introduction, qui s'est étendue sur des décennies, a eu les caractéristiques d'un « </w:t>
      </w:r>
      <w:r>
        <w:rPr>
          <w:i/>
          <w:iCs/>
        </w:rPr>
        <w:t>choc</w:t>
      </w:r>
      <w:r>
        <w:rPr/>
        <w:t> » : rien de brutal, ni d'imprévisible, a fortiori au fur et à mesure de son extension ; et en quoi paraît-elle extérieure à l'économie ? La hausse du prix du pétrole en 1973</w:t>
      </w:r>
      <w:r>
        <w:rPr>
          <w:rStyle w:val="Ancredenotedebasdepage"/>
        </w:rPr>
        <w:footnoteReference w:id="37"/>
      </w:r>
      <w:r>
        <w:rPr/>
        <w:t> ? Certes elle apparut brutale, par son ampleur, aux observateurs du reste du monde, mais était-elle pour autant imprévisible, et en quoi la hausse d'un prix est-elle extérieure à l'économie ?</w:t>
      </w:r>
    </w:p>
    <w:p>
      <w:pPr>
        <w:pStyle w:val="Normal"/>
        <w:jc w:val="both"/>
        <w:rPr/>
      </w:pPr>
      <w:r>
        <w:rPr/>
        <w:t>Et du côté des « </w:t>
      </w:r>
      <w:r>
        <w:rPr>
          <w:i/>
          <w:iCs/>
        </w:rPr>
        <w:t>chocs de demande</w:t>
      </w:r>
      <w:r>
        <w:rPr/>
        <w:t> », que dire d'une hausse des salaires, ou de l'ouverture de l'économie d'un pays au commerce international ? Que dire de la relance de la demande par les pouvoirs publics</w:t>
      </w:r>
      <w:r>
        <w:rPr>
          <w:rStyle w:val="Ancredenotedebasdepage"/>
        </w:rPr>
        <w:footnoteReference w:id="38"/>
      </w:r>
      <w:r>
        <w:rPr/>
        <w:t> ? Que dire, enfin, de la variation du volume des crédits ?</w:t>
      </w:r>
    </w:p>
    <w:p>
      <w:pPr>
        <w:pStyle w:val="Normal"/>
        <w:jc w:val="both"/>
        <w:rPr/>
      </w:pPr>
      <w:r>
        <w:rPr/>
        <w:t>L'acception commune du terme de choc est donc inutile ici. En réalité, comme la plupart des supports examinés le disent, un choc est un événement qui entraîne le déplacement de la courbe d'offre globale, ou de la courbe de demande globale, voire des deux. On ne voit d'ailleurs pas d'exemple de choc qui soit un choc « </w:t>
      </w:r>
      <w:r>
        <w:rPr>
          <w:i/>
          <w:iCs/>
        </w:rPr>
        <w:t>de demande</w:t>
      </w:r>
      <w:r>
        <w:rPr/>
        <w:t> » sans être un choc « </w:t>
      </w:r>
      <w:r>
        <w:rPr>
          <w:i/>
          <w:iCs/>
        </w:rPr>
        <w:t>d'offre</w:t>
      </w:r>
      <w:r>
        <w:rPr/>
        <w:t xml:space="preserve"> », et réciproquement... sauf à se placer dans un modèle d'équilibre partiel, mais cela n'est jamais dit. </w:t>
      </w:r>
    </w:p>
    <w:p>
      <w:pPr>
        <w:pStyle w:val="Normal"/>
        <w:jc w:val="both"/>
        <w:rPr/>
      </w:pPr>
      <w:r>
        <w:rPr/>
        <w:t>Cette définition ne prend donc sens que dans un modèle déterminé, le modèle standard</w:t>
      </w:r>
      <w:r>
        <w:rPr>
          <w:rStyle w:val="Ancredenotedebasdepage"/>
        </w:rPr>
        <w:footnoteReference w:id="39"/>
      </w:r>
      <w:r>
        <w:rPr/>
        <w:t>. Le problème central de ce modèle étant celui de l'équilibre, est qualifié de « </w:t>
      </w:r>
      <w:r>
        <w:rPr>
          <w:i/>
          <w:iCs/>
        </w:rPr>
        <w:t>choc</w:t>
      </w:r>
      <w:r>
        <w:rPr/>
        <w:t> » tout événement qui « </w:t>
      </w:r>
      <w:r>
        <w:rPr>
          <w:i/>
          <w:iCs/>
        </w:rPr>
        <w:t>déplace l'équilibre</w:t>
      </w:r>
      <w:r>
        <w:rPr/>
        <w:t> », et cet événement est par définition extérieur, plus précisément extérieur au modèle d'une économie représentée comme un système de marchés. Dans ce cadre, tout ce qui n'est pas explicable par le « </w:t>
      </w:r>
      <w:r>
        <w:rPr>
          <w:i/>
          <w:iCs/>
        </w:rPr>
        <w:t>fonctionnement</w:t>
      </w:r>
      <w:r>
        <w:rPr/>
        <w:t> » des marchés, même « </w:t>
      </w:r>
      <w:r>
        <w:rPr>
          <w:i/>
          <w:iCs/>
        </w:rPr>
        <w:t>imparfaits</w:t>
      </w:r>
      <w:r>
        <w:rPr/>
        <w:t> », constitue une source, exogène, de « </w:t>
      </w:r>
      <w:r>
        <w:rPr>
          <w:i/>
          <w:iCs/>
        </w:rPr>
        <w:t>perturbation</w:t>
      </w:r>
      <w:r>
        <w:rPr/>
        <w:t> » de l'équilibre économique, d'où la présentation, trouvée dans certains supports, de la crise comme « </w:t>
      </w:r>
      <w:r>
        <w:rPr>
          <w:i/>
          <w:iCs/>
        </w:rPr>
        <w:t>rupture de l'équilibre</w:t>
      </w:r>
      <w:r>
        <w:rPr/>
        <w:t> ». Par conséquent, l'explication en termes de chocs n'a de sens, du point de vue des théories économiques, que dans cette conception réductrice de l'économie.</w:t>
      </w:r>
    </w:p>
    <w:p>
      <w:pPr>
        <w:pStyle w:val="Normal"/>
        <w:jc w:val="both"/>
        <w:rPr/>
      </w:pPr>
      <w:r>
        <w:rPr/>
      </w:r>
    </w:p>
    <w:p>
      <w:pPr>
        <w:pStyle w:val="Normal"/>
        <w:jc w:val="both"/>
        <w:rPr>
          <w:color w:val="0000FF"/>
        </w:rPr>
      </w:pPr>
      <w:r>
        <w:rPr>
          <w:color w:val="000000"/>
        </w:rPr>
        <w:t>Quelle place pour les activités financières et monétaires ?</w:t>
      </w:r>
    </w:p>
    <w:p>
      <w:pPr>
        <w:pStyle w:val="Normal"/>
        <w:jc w:val="both"/>
        <w:rPr/>
      </w:pPr>
      <w:r>
        <w:rPr/>
      </w:r>
    </w:p>
    <w:p>
      <w:pPr>
        <w:pStyle w:val="Normal"/>
        <w:jc w:val="both"/>
        <w:rPr/>
      </w:pPr>
      <w:r>
        <w:rPr/>
        <w:t>Cette conception de l'économie détermine aussi la place faite aux activités monétaires et financières dans l'explication de la crise.</w:t>
      </w:r>
    </w:p>
    <w:p>
      <w:pPr>
        <w:pStyle w:val="Normal"/>
        <w:jc w:val="both"/>
        <w:rPr/>
      </w:pPr>
      <w:r>
        <w:rPr/>
        <w:t>Le déclenchement de la crise actuelle, qui a touché d'abord marchés financiers et activités bancaires, a imposé la prise en compte de ces activités dans l'analyse de la crise. Pourtant, la diversité des présentations examinées – voire leur confusion – met en évidence la difficulté de cette prise en compte dans le cadre théorique standard.</w:t>
      </w:r>
    </w:p>
    <w:p>
      <w:pPr>
        <w:pStyle w:val="Normal"/>
        <w:jc w:val="both"/>
        <w:rPr/>
      </w:pPr>
      <w:r>
        <w:rPr/>
        <w:t>Le modèle standard, en effet, fonde une macroéconomie qui n'incorpore la finance qu'en la réduisant à une fonction d'offre de crédit</w:t>
      </w:r>
      <w:r>
        <w:rPr>
          <w:rStyle w:val="Ancredenotedebasdepage"/>
        </w:rPr>
        <w:footnoteReference w:id="40"/>
      </w:r>
      <w:r>
        <w:rPr/>
        <w:t xml:space="preserve"> censée réagir mécaniquement aux variations du taux d'intérêt. L'analyse des « </w:t>
      </w:r>
      <w:r>
        <w:rPr>
          <w:i/>
          <w:iCs/>
        </w:rPr>
        <w:t>marchés financiers</w:t>
      </w:r>
      <w:r>
        <w:rPr/>
        <w:t> » repose sur les mêmes hypothèses de comportement concernant les agents individuels, seules entités concevables dans ce cadre théorique. Sur cette base, ces marchés furent considérés comme « </w:t>
      </w:r>
      <w:r>
        <w:rPr>
          <w:i/>
          <w:iCs/>
        </w:rPr>
        <w:t>efficients</w:t>
      </w:r>
      <w:r>
        <w:rPr/>
        <w:t> » par la macroéconomie standard, jusqu'au « choc », car cette fois le mot n'est pas déplacé, de 2007-2008 : ce qui était inconcevable venait d'éclater.</w:t>
      </w:r>
    </w:p>
    <w:p>
      <w:pPr>
        <w:pStyle w:val="Normal"/>
        <w:jc w:val="both"/>
        <w:rPr/>
      </w:pPr>
      <w:r>
        <w:rPr/>
        <w:t>Comme par ailleurs l'économie standard considère la monnaie comme exogène et adhère à une vision dichotomiste séparant « </w:t>
      </w:r>
      <w:r>
        <w:rPr>
          <w:i/>
          <w:iCs/>
        </w:rPr>
        <w:t>économie réelle</w:t>
      </w:r>
      <w:r>
        <w:rPr/>
        <w:t> » – domaine des échanges de biens et de services – et « </w:t>
      </w:r>
      <w:r>
        <w:rPr>
          <w:i/>
          <w:iCs/>
        </w:rPr>
        <w:t>sphère monétaire et financière</w:t>
      </w:r>
      <w:r>
        <w:rPr/>
        <w:t> », les explications qui en découlent n'intègrent cette « </w:t>
      </w:r>
      <w:r>
        <w:rPr>
          <w:i/>
          <w:iCs/>
        </w:rPr>
        <w:t>sphère</w:t>
      </w:r>
      <w:r>
        <w:rPr/>
        <w:t> » qu'en l'opposant au reste de l'économie : les comportements qui s'y observent sont susceptibles d'amener à des « </w:t>
      </w:r>
      <w:r>
        <w:rPr>
          <w:i/>
          <w:iCs/>
        </w:rPr>
        <w:t>excès</w:t>
      </w:r>
      <w:r>
        <w:rPr/>
        <w:t> », et ces derniers sont la cause – endogène, donc – de « </w:t>
      </w:r>
      <w:r>
        <w:rPr>
          <w:i/>
          <w:iCs/>
        </w:rPr>
        <w:t>l'instabilité de la croissance</w:t>
      </w:r>
      <w:r>
        <w:rPr/>
        <w:t> »</w:t>
      </w:r>
      <w:r>
        <w:rPr>
          <w:rStyle w:val="Ancredenotedebasdepage"/>
        </w:rPr>
        <w:footnoteReference w:id="41"/>
      </w:r>
      <w:r>
        <w:rPr/>
        <w:t>, autrement dit de crises. Cela revient à n'accepter l'intégration des activités monétaires et financières dans « </w:t>
      </w:r>
      <w:r>
        <w:rPr>
          <w:i/>
          <w:iCs/>
        </w:rPr>
        <w:t>l'économie</w:t>
      </w:r>
      <w:r>
        <w:rPr/>
        <w:t> » qu'en renforçant l'idée de dichotomie. Il faut en effet distinguer ces activités de l'économie « </w:t>
      </w:r>
      <w:r>
        <w:rPr>
          <w:i/>
          <w:iCs/>
        </w:rPr>
        <w:t>réelle</w:t>
      </w:r>
      <w:r>
        <w:rPr/>
        <w:t> » pour une raison supplémentaire : les agents y sont  capables d'excès, autrement dit de manquer de rationalité.</w:t>
      </w:r>
    </w:p>
    <w:p>
      <w:pPr>
        <w:pStyle w:val="Normal"/>
        <w:jc w:val="both"/>
        <w:rPr/>
      </w:pPr>
      <w:r>
        <w:rPr/>
        <w:t>Mais pourquoi, alors que l'économie standard affirmait l'efficience des marchés financiers, ceux-ci et  l'ensemble de la « </w:t>
      </w:r>
      <w:r>
        <w:rPr>
          <w:i/>
          <w:iCs/>
        </w:rPr>
        <w:t>sphère</w:t>
      </w:r>
      <w:r>
        <w:rPr/>
        <w:t> » monétaire et financière sont-ils devenus depuis le début de la crise en cours un domaine qui échappe à la rationalité prêtée à tout agent économique ? Et pourquoi les crises financières se sont-elles reproduites aussi souvent depuis les années 1980, à la différence du demi-siècle précédent ?</w:t>
      </w:r>
    </w:p>
    <w:p>
      <w:pPr>
        <w:pStyle w:val="Normal"/>
        <w:jc w:val="both"/>
        <w:rPr/>
      </w:pPr>
      <w:r>
        <w:rPr/>
        <w:t>Il est intéressant de noter que les présentations de la crise issues de l'économie standard font place, à présent, à l'idée d'un « </w:t>
      </w:r>
      <w:r>
        <w:rPr>
          <w:i/>
          <w:iCs/>
        </w:rPr>
        <w:t>cycle du crédit</w:t>
      </w:r>
      <w:r>
        <w:rPr/>
        <w:t> » qui, la plupart du temps, conduit à faire référence à l'</w:t>
      </w:r>
      <w:r>
        <w:rPr>
          <w:rFonts w:cs="Times New Roman"/>
        </w:rPr>
        <w:t>œ</w:t>
      </w:r>
      <w:r>
        <w:rPr/>
        <w:t>uvre de Minsky</w:t>
      </w:r>
      <w:r>
        <w:rPr>
          <w:rStyle w:val="Ancredenotedebasdepage"/>
        </w:rPr>
        <w:footnoteReference w:id="42"/>
      </w:r>
      <w:r>
        <w:rPr/>
        <w:t>. Mais cette référence est réduite, en général, au « </w:t>
      </w:r>
      <w:r>
        <w:rPr>
          <w:i/>
          <w:iCs/>
        </w:rPr>
        <w:t>paradoxe de la tranquillité</w:t>
      </w:r>
      <w:r>
        <w:rPr/>
        <w:t> », de telle façon que la cohérence du modèle explicatif standard paraît préservée</w:t>
      </w:r>
      <w:r>
        <w:rPr>
          <w:rStyle w:val="Ancredenotedebasdepage"/>
        </w:rPr>
        <w:footnoteReference w:id="43"/>
      </w:r>
      <w:r>
        <w:rPr/>
        <w:t>.</w:t>
      </w:r>
    </w:p>
    <w:p>
      <w:pPr>
        <w:pStyle w:val="Normal"/>
        <w:jc w:val="both"/>
        <w:rPr/>
      </w:pPr>
      <w:r>
        <w:rPr/>
        <w:t>Or le travail de Minsky ne prend sens que sur des bases théoriques en rupture avec ce modèle : ce n'est pas à des « </w:t>
      </w:r>
      <w:r>
        <w:rPr>
          <w:i/>
          <w:iCs/>
        </w:rPr>
        <w:t>excès</w:t>
      </w:r>
      <w:r>
        <w:rPr/>
        <w:t> » de comportement spécifiques au domaine financier qu'il attribue ledit paradoxe, mais à la place de la finance dans « </w:t>
      </w:r>
      <w:r>
        <w:rPr>
          <w:i/>
          <w:iCs/>
        </w:rPr>
        <w:t>l'économie capitaliste</w:t>
      </w:r>
      <w:r>
        <w:rPr/>
        <w:t> », comme il n'hésite pas à l'appeler. Rejetant, comme d'autres économistes tels que Marx, Schumpeter et Keynes, la centralité du concept d'équilibre, et la problématique correspondante, Minsky ne peut concevoir une crise comme la rupture de l'équilibre auquel doit conduire la recherche par chaque agent de son intérêt individuel. Il caractérise au contraire l'économie capitaliste par  la logique financière de grands groupes qui cherchent par l'accès au crédit à obtenir les taux de rendement financier les plus élevés possibles</w:t>
      </w:r>
      <w:r>
        <w:rPr>
          <w:rStyle w:val="Ancredenotedebasdepage"/>
        </w:rPr>
        <w:footnoteReference w:id="44"/>
      </w:r>
      <w:r>
        <w:rPr/>
        <w:t>. Plutôt que de concevoir les rapports économiques comme des rapports entre individus homogènes dans leurs comportements, ou comme des rapports fonctionnels entre catégories d'agents</w:t>
      </w:r>
      <w:r>
        <w:rPr>
          <w:rStyle w:val="Ancredenotedebasdepage"/>
        </w:rPr>
        <w:footnoteReference w:id="45"/>
      </w:r>
      <w:r>
        <w:rPr/>
        <w:t xml:space="preserve"> du point de vue macroéconomique, il distingue une catégorie d'acteurs pour leur capacité à développer  leur recherche de profit à partir de l'activité financière.</w:t>
      </w:r>
    </w:p>
    <w:p>
      <w:pPr>
        <w:pStyle w:val="Normal"/>
        <w:jc w:val="both"/>
        <w:rPr/>
      </w:pPr>
      <w:r>
        <w:rPr/>
      </w:r>
    </w:p>
    <w:p>
      <w:pPr>
        <w:pStyle w:val="Normal"/>
        <w:jc w:val="both"/>
        <w:rPr>
          <w:color w:val="0000FF"/>
        </w:rPr>
      </w:pPr>
      <w:r>
        <w:rPr>
          <w:color w:val="000000"/>
        </w:rPr>
        <w:t>S’écarter de l’économie standard</w:t>
      </w:r>
    </w:p>
    <w:p>
      <w:pPr>
        <w:pStyle w:val="Normal"/>
        <w:jc w:val="both"/>
        <w:rPr/>
      </w:pPr>
      <w:r>
        <w:rPr/>
      </w:r>
    </w:p>
    <w:p>
      <w:pPr>
        <w:pStyle w:val="Normal"/>
        <w:jc w:val="both"/>
        <w:rPr/>
      </w:pPr>
      <w:r>
        <w:rPr/>
        <w:t>Il est donc possible d'expliquer la crise actuelle en d'autres termes que ceux de l'économie standard, en commençant par repenser la place des activités monétaires et financières dans l'ensemble de ces activités qu'on appelle économiques, et qui constitue le domaine de l'approvisionnement matériel de sociétés humaines. Il est possible, précisément, d'analyser comment cette place a évolué dans l'histoire du capitalisme. Cela permet, en particulier, de montrer que la crise actuelle est le produit d'une « </w:t>
      </w:r>
      <w:r>
        <w:rPr>
          <w:i/>
          <w:iCs/>
        </w:rPr>
        <w:t>financiarisation</w:t>
      </w:r>
      <w:r>
        <w:rPr/>
        <w:t> » du capitalisme, comme le montrent divers économistes (Minsky, Aglietta, Orléan...), commencée dès les années soixante aux États-Unis, autrement dit d'un processus de longue période. Il y a « </w:t>
      </w:r>
      <w:r>
        <w:rPr>
          <w:i/>
          <w:iCs/>
        </w:rPr>
        <w:t>finance</w:t>
      </w:r>
      <w:r>
        <w:rPr/>
        <w:t> » dès lors qu'il s'agit de fournir de la liquidité à l'investissement, la question étant de savoir qui le fait, pourquoi et comment. Or cela évolue : citons sans alourdir le propos l'évolution de la place respective du crédit bancaire et du financement de marché.</w:t>
      </w:r>
    </w:p>
    <w:p>
      <w:pPr>
        <w:pStyle w:val="Normal"/>
        <w:jc w:val="both"/>
        <w:rPr/>
      </w:pPr>
      <w:r>
        <w:rPr/>
        <w:t>Sont concevables alors des explications qui divergent des schémas dominants en montrant l'endogénéité des processus qui mènent à la crise actuelle : celle-ci est née dans une économie dominée par l'activité des marchés financiers, et la financiarisation en question est née elle-même au cœur d'une dynamique économique de longue période, à partir d'innovations qui ont transformé l'économie</w:t>
      </w:r>
      <w:r>
        <w:rPr>
          <w:rStyle w:val="Ancredenotedebasdepage"/>
        </w:rPr>
        <w:footnoteReference w:id="46"/>
      </w:r>
      <w:r>
        <w:rPr/>
        <w:t>. Sur cette base, c'est aussi l'enchaînement entre la « </w:t>
      </w:r>
      <w:r>
        <w:rPr>
          <w:i/>
          <w:iCs/>
        </w:rPr>
        <w:t>crise financière</w:t>
      </w:r>
      <w:r>
        <w:rPr/>
        <w:t> » et celle de la  prétendue « </w:t>
      </w:r>
      <w:r>
        <w:rPr>
          <w:i/>
          <w:iCs/>
        </w:rPr>
        <w:t>économie réelle</w:t>
      </w:r>
      <w:r>
        <w:rPr/>
        <w:t> » qui est repensé : au lieu d'une présentation dichotomiste de la relation entre deux « </w:t>
      </w:r>
      <w:r>
        <w:rPr>
          <w:i/>
          <w:iCs/>
        </w:rPr>
        <w:t>sphères</w:t>
      </w:r>
      <w:r>
        <w:rPr/>
        <w:t> » autonomes, il s'agit de montrer comment la financiarisation a modifié non seulement les modalités de financement de l'investissement des entreprises, mais aussi les modalités de leur gestion</w:t>
      </w:r>
      <w:r>
        <w:rPr>
          <w:rStyle w:val="Ancredenotedebasdepage"/>
        </w:rPr>
        <w:footnoteReference w:id="47"/>
      </w:r>
      <w:r>
        <w:rPr/>
        <w:t xml:space="preserve"> (Aglietta, 1997), en particulier en matière d'affectation du profit et d'emploi de la force de travail. Cela conduit alors à envisager autrement le jeu des « </w:t>
      </w:r>
      <w:r>
        <w:rPr>
          <w:i/>
          <w:iCs/>
        </w:rPr>
        <w:t>inégalités</w:t>
      </w:r>
      <w:r>
        <w:rPr/>
        <w:t> » dans cette dynamique.</w:t>
      </w:r>
    </w:p>
    <w:p>
      <w:pPr>
        <w:pStyle w:val="Normal"/>
        <w:jc w:val="both"/>
        <w:rPr>
          <w:b/>
          <w:b/>
          <w:bCs/>
        </w:rPr>
      </w:pPr>
      <w:r>
        <w:rPr>
          <w:b/>
          <w:bCs/>
        </w:rPr>
      </w:r>
    </w:p>
    <w:p>
      <w:pPr>
        <w:pStyle w:val="Normal"/>
        <w:jc w:val="both"/>
        <w:rPr>
          <w:b/>
          <w:b/>
          <w:bCs/>
        </w:rPr>
      </w:pPr>
      <w:r>
        <w:rPr>
          <w:b/>
          <w:bCs/>
        </w:rPr>
        <w:t>II-1.2. Le jeu de la répartition dans la dynamique de la crise</w:t>
      </w:r>
    </w:p>
    <w:p>
      <w:pPr>
        <w:pStyle w:val="Normal"/>
        <w:jc w:val="both"/>
        <w:rPr/>
      </w:pPr>
      <w:r>
        <w:rPr/>
      </w:r>
    </w:p>
    <w:p>
      <w:pPr>
        <w:pStyle w:val="Normal"/>
        <w:jc w:val="both"/>
        <w:rPr/>
      </w:pPr>
      <w:r>
        <w:rPr/>
        <w:t>Rappelons en effet que le thème des « </w:t>
      </w:r>
      <w:r>
        <w:rPr>
          <w:i/>
          <w:iCs/>
        </w:rPr>
        <w:t>inégalités</w:t>
      </w:r>
      <w:r>
        <w:rPr/>
        <w:t> » est revenu, avec la crise actuelle, à l'agenda d'une part croissante des économistes</w:t>
      </w:r>
      <w:r>
        <w:rPr>
          <w:rStyle w:val="Ancredenotedebasdepage"/>
        </w:rPr>
        <w:footnoteReference w:id="48"/>
      </w:r>
      <w:r>
        <w:rPr/>
        <w:t>, et que cela se retrouve dans trois des supports d'enseignement que nous avons examinés. Or, dans les schémas explicatifs dominants en SES, se référant à l'économie standard, il n'en est pas question. Est-il alors pertinent, comme tentent de le faire certaines présentations, de s'interroger sur le rôle que les inégalités, ou plus précisément la répartition du revenu, ont pu jouer dans l'avènement de la crise actuelle ?</w:t>
      </w:r>
    </w:p>
    <w:p>
      <w:pPr>
        <w:pStyle w:val="Normal"/>
        <w:jc w:val="both"/>
        <w:rPr/>
      </w:pPr>
      <w:r>
        <w:rPr/>
        <w:t>Rappelons d'abord que le modèle néo-classique ignore tout problème de ce type : à l'équilibre, les facteurs de production sont rémunérés à leur productivité marginale, il y a « </w:t>
      </w:r>
      <w:r>
        <w:rPr>
          <w:i/>
          <w:iCs/>
        </w:rPr>
        <w:t>épuisement du produit</w:t>
      </w:r>
      <w:r>
        <w:rPr/>
        <w:t> ». Autrement dit, si un individu perçoit un revenu différent d'un autre, c'est dû à la différence de leurs productivités marginales. Tout au plus, reconnaissant des « </w:t>
      </w:r>
      <w:r>
        <w:rPr>
          <w:i/>
          <w:iCs/>
        </w:rPr>
        <w:t>imperfections du marché</w:t>
      </w:r>
      <w:r>
        <w:rPr/>
        <w:t> », certains économistes du courant principal vont envisager leur correction au niveau de la « </w:t>
      </w:r>
      <w:r>
        <w:rPr>
          <w:i/>
          <w:iCs/>
        </w:rPr>
        <w:t>redistribution</w:t>
      </w:r>
      <w:r>
        <w:rPr/>
        <w:t> », ou « </w:t>
      </w:r>
      <w:r>
        <w:rPr>
          <w:i/>
          <w:iCs/>
        </w:rPr>
        <w:t>répartition secondaire</w:t>
      </w:r>
      <w:r>
        <w:rPr/>
        <w:t> »</w:t>
      </w:r>
      <w:r>
        <w:rPr>
          <w:rStyle w:val="Ancredenotedebasdepage"/>
        </w:rPr>
        <w:footnoteReference w:id="49"/>
      </w:r>
      <w:r>
        <w:rPr/>
        <w:t>. Pendant longtemps c'est une variante de cette analyse qui a ainsi conclu que les inégalités de revenu observées ces dernières années s'expliquaient par le jeu du progrès technique.</w:t>
      </w:r>
    </w:p>
    <w:p>
      <w:pPr>
        <w:pStyle w:val="Normal"/>
        <w:jc w:val="both"/>
        <w:rPr/>
      </w:pPr>
      <w:r>
        <w:rPr/>
        <w:t>Mais, dans sa discussion en particulier avec Robert Reich</w:t>
      </w:r>
      <w:r>
        <w:rPr>
          <w:rStyle w:val="Ancredenotedebasdepage"/>
        </w:rPr>
        <w:footnoteReference w:id="50"/>
      </w:r>
      <w:r>
        <w:rPr/>
        <w:t>, Paul Krugman (2007) lui-même reconnaît qu'après avoir longtemps retenu cette thèse, sa position a radicalement changé, mettant l'action politique, et idéologique, à l'origine de transformations de la répartition. Cela suggère que même un économiste du courant principal comme Krugman est susceptible de diverger,  dans l'analyse de la dynamique de répartition du produit, de l'économie standard et, ce faisant, de se questionner sur l'articulation entre cette dynamique et celle de la « </w:t>
      </w:r>
      <w:r>
        <w:rPr>
          <w:i/>
          <w:iCs/>
        </w:rPr>
        <w:t>croissance</w:t>
      </w:r>
      <w:r>
        <w:rPr/>
        <w:t> », qui a abouti à la crise actuelle. Si des processus politiques et idéologiques sont susceptibles de transformer les processus de répartition, peut-on se contenter d'y voir des « </w:t>
      </w:r>
      <w:r>
        <w:rPr>
          <w:i/>
          <w:iCs/>
        </w:rPr>
        <w:t>imperfections du marché</w:t>
      </w:r>
      <w:r>
        <w:rPr/>
        <w:t> », ou bien ne faut-il pas concevoir l'économie comme autre chose que le simple champ d'échanges marchands ? Comme d'autre part la thèse standard n'a pu produire de travaux assez robustes pour être corroborée, il est nécessaire de chercher ailleurs les outils théoriques pour analyser le jeu de la répartition dans la dynamique longue du capitalisme.</w:t>
      </w:r>
    </w:p>
    <w:p>
      <w:pPr>
        <w:pStyle w:val="Normal"/>
        <w:jc w:val="both"/>
        <w:rPr/>
      </w:pPr>
      <w:r>
        <w:rPr/>
      </w:r>
    </w:p>
    <w:p>
      <w:pPr>
        <w:pStyle w:val="Normal"/>
        <w:jc w:val="both"/>
        <w:rPr>
          <w:color w:val="0000FF"/>
        </w:rPr>
      </w:pPr>
      <w:r>
        <w:rPr>
          <w:color w:val="000000"/>
        </w:rPr>
        <w:t>Que disent les supports d’enseignement sur ce rôle ?</w:t>
      </w:r>
    </w:p>
    <w:p>
      <w:pPr>
        <w:pStyle w:val="Normal"/>
        <w:jc w:val="both"/>
        <w:rPr/>
      </w:pPr>
      <w:r>
        <w:rPr/>
      </w:r>
    </w:p>
    <w:p>
      <w:pPr>
        <w:pStyle w:val="Normal"/>
        <w:jc w:val="both"/>
        <w:rPr/>
      </w:pPr>
      <w:r>
        <w:rPr/>
        <w:t>Venons-en à présent aux documents repérés dans trois des supports d'enseignement examinés : ces supports livrent-ils aux élèves de tels outils théoriques ?</w:t>
      </w:r>
    </w:p>
    <w:p>
      <w:pPr>
        <w:pStyle w:val="Normal"/>
        <w:jc w:val="both"/>
        <w:rPr/>
      </w:pPr>
      <w:r>
        <w:rPr/>
        <w:t>Dans un premier cours en ligne, la représentation graphique de la variation de la part du revenu affectée au « </w:t>
      </w:r>
      <w:r>
        <w:rPr>
          <w:i/>
          <w:iCs/>
        </w:rPr>
        <w:t>1 %</w:t>
      </w:r>
      <w:r>
        <w:rPr/>
        <w:t> », aux États-Unis,  entre 1910 et 2010, montre que les deux « pics » se situent en 1928 (23,9%) et en 2007 (23,5%). Il est demandé aux élèves de « </w:t>
      </w:r>
      <w:r>
        <w:rPr>
          <w:i/>
          <w:iCs/>
        </w:rPr>
        <w:t>formuler une hypothèse causale</w:t>
      </w:r>
      <w:r>
        <w:rPr/>
        <w:t> ».</w:t>
      </w:r>
    </w:p>
    <w:p>
      <w:pPr>
        <w:pStyle w:val="Normal"/>
        <w:jc w:val="both"/>
        <w:rPr/>
      </w:pPr>
      <w:r>
        <w:rPr/>
        <w:t>Travail difficile</w:t>
      </w:r>
      <w:r>
        <w:rPr>
          <w:rStyle w:val="Ancredenotedebasdepage"/>
        </w:rPr>
        <w:footnoteReference w:id="51"/>
      </w:r>
      <w:r>
        <w:rPr/>
        <w:t xml:space="preserve">, sans l'appui de connaissances théoriques, mais a priori intéressant : amener les élèves à réfléchir sur cette observation ne peut qu'enrichir leur compréhension de la crise actuelle. </w:t>
      </w:r>
    </w:p>
    <w:p>
      <w:pPr>
        <w:pStyle w:val="Normal"/>
        <w:jc w:val="both"/>
        <w:rPr/>
      </w:pPr>
      <w:r>
        <w:rPr/>
        <w:t>Un second manuel (Fraisse-D'Olimpio, 2012) présente la thèse classique d'un jeu de la répartition, en évoquant les travaux de Malthus et Sismondi : « </w:t>
      </w:r>
      <w:r>
        <w:rPr>
          <w:i/>
          <w:iCs/>
        </w:rPr>
        <w:t>le pouvoir de consommer ne s'accroît pas nécessairement avec le pouvoir de produire</w:t>
      </w:r>
      <w:r>
        <w:rPr/>
        <w:t> », selon ce dernier. Et Bernard Rosier, auteur de l'extrait que reprend ce document, conclut : « </w:t>
      </w:r>
      <w:r>
        <w:rPr>
          <w:i/>
          <w:iCs/>
        </w:rPr>
        <w:t>Et cela vient du mode de répartition du revenu entre les classes sociales qui tend à la « sous-consommation »</w:t>
      </w:r>
      <w:r>
        <w:rPr/>
        <w:t>, (…). ». Il est demandé aux élèves de montrer « </w:t>
      </w:r>
      <w:r>
        <w:rPr>
          <w:i/>
          <w:iCs/>
        </w:rPr>
        <w:t>les prolongements théoriques chez Marx et Keynes</w:t>
      </w:r>
      <w:r>
        <w:rPr/>
        <w:t> » de cette phrase, mais cela implique que le professeur de SES leur en donne les moyens, en leur faisant connaître les explications que donnent ces auteurs aux crises. Or ce n'est pas dans le manuel, ni dans le programme.</w:t>
      </w:r>
    </w:p>
    <w:p>
      <w:pPr>
        <w:pStyle w:val="Normal"/>
        <w:jc w:val="both"/>
        <w:rPr/>
      </w:pPr>
      <w:r>
        <w:rPr/>
        <w:t>Enfin, le cours en ligne qui propose de travailler sur un document extrait de Gaffard (2008), « </w:t>
      </w:r>
      <w:r>
        <w:rPr>
          <w:i/>
          <w:iCs/>
        </w:rPr>
        <w:t>Les inégalités responsables de la crise</w:t>
      </w:r>
      <w:r>
        <w:rPr/>
        <w:t> », demande aux élèves :</w:t>
      </w:r>
    </w:p>
    <w:p>
      <w:pPr>
        <w:pStyle w:val="Normal"/>
        <w:jc w:val="both"/>
        <w:rPr/>
      </w:pPr>
      <w:r>
        <w:rPr/>
        <w:t>« </w:t>
      </w:r>
      <w:r>
        <w:rPr>
          <w:i/>
          <w:iCs/>
        </w:rPr>
        <w:t>Pourquoi l'auteur considère-t-il que ce sont les inégalités qui sont responsables de la crise de 2008 ?</w:t>
      </w:r>
      <w:r>
        <w:rPr/>
        <w:t> ».</w:t>
      </w:r>
    </w:p>
    <w:p>
      <w:pPr>
        <w:pStyle w:val="Normal"/>
        <w:jc w:val="both"/>
        <w:rPr/>
      </w:pPr>
      <w:r>
        <w:rPr/>
        <w:t>S'il est assez simple de repérer dans le texte les éléments de réponse à cette question</w:t>
      </w:r>
      <w:r>
        <w:rPr>
          <w:rStyle w:val="Ancredenotedebasdepage"/>
        </w:rPr>
        <w:footnoteReference w:id="52"/>
      </w:r>
      <w:r>
        <w:rPr/>
        <w:t>, qui mettent en cause l'enchaînement entre le creusement des inégalités et l'endettement des ménages dans un contexte de financiarisation de l'économie, l'évolution desdites inégalités reste inexpliquée</w:t>
      </w:r>
      <w:r>
        <w:rPr>
          <w:rStyle w:val="Ancredenotedebasdepage"/>
        </w:rPr>
        <w:footnoteReference w:id="53"/>
      </w:r>
      <w:r>
        <w:rPr/>
        <w:t>. Leur conséquence concerne « </w:t>
      </w:r>
      <w:r>
        <w:rPr>
          <w:i/>
          <w:iCs/>
        </w:rPr>
        <w:t>la plupart des ménages</w:t>
      </w:r>
      <w:r>
        <w:rPr/>
        <w:t> », sans  plus de précision, mais à la limite des élèves qui ont bien appris ce qu'est un « </w:t>
      </w:r>
      <w:r>
        <w:rPr>
          <w:i/>
          <w:iCs/>
        </w:rPr>
        <w:t>choc exogène</w:t>
      </w:r>
      <w:r>
        <w:rPr/>
        <w:t> » pourraient conclure que cette évolution en est un, évacuant ainsi la question de son origine.</w:t>
      </w:r>
    </w:p>
    <w:p>
      <w:pPr>
        <w:pStyle w:val="Normal"/>
        <w:jc w:val="both"/>
        <w:rPr/>
      </w:pPr>
      <w:r>
        <w:rPr/>
      </w:r>
    </w:p>
    <w:p>
      <w:pPr>
        <w:pStyle w:val="Normal"/>
        <w:jc w:val="both"/>
        <w:rPr>
          <w:color w:val="0000FF"/>
        </w:rPr>
      </w:pPr>
      <w:r>
        <w:rPr>
          <w:color w:val="000000"/>
        </w:rPr>
        <w:t>Se référer à d’autres schémas explicatifs des inégalités</w:t>
      </w:r>
    </w:p>
    <w:p>
      <w:pPr>
        <w:pStyle w:val="Normal"/>
        <w:jc w:val="both"/>
        <w:rPr/>
      </w:pPr>
      <w:r>
        <w:rPr/>
      </w:r>
    </w:p>
    <w:p>
      <w:pPr>
        <w:pStyle w:val="Normal"/>
        <w:jc w:val="both"/>
        <w:rPr/>
      </w:pPr>
      <w:r>
        <w:rPr/>
        <w:t>Si l'on veut pourtant intégrer l'évolution des « </w:t>
      </w:r>
      <w:r>
        <w:rPr>
          <w:i/>
          <w:iCs/>
        </w:rPr>
        <w:t>inégalités</w:t>
      </w:r>
      <w:r>
        <w:rPr/>
        <w:t> » dans la dynamique économique de long terme, il faut donc se référer à d'autres modèles explicatifs, et les deux derniers exemples que nous venons de citer nous mettent sur la voie, malgré leurs limites. Nous disposons en effet de modèles qui expliquent de façon endogène la dynamique du capitalisme en y intégrant le jeu de la répartition. D'inspiration classique (Goodwin), keynésienne (Robinson, Kaldor), régulationniste (Canry) ou marxiste (Duménil, Lévy), tous divergent du modèle standard et, d'abord, reposent sur l'idée de comportements distincts des « </w:t>
      </w:r>
      <w:r>
        <w:rPr>
          <w:i/>
          <w:iCs/>
        </w:rPr>
        <w:t>agents économiques</w:t>
      </w:r>
      <w:r>
        <w:rPr/>
        <w:t> », selon la position qu'ils occupent dans l'économie. Les modèles d'inspiration keynésienne distinguent les comportements de consommation et d'épargne en fonction du type de revenu, salaire ou profit, et renouent avec les analyses d'économistes ayant critiqué, dès le dix-neuvième siècle, la « </w:t>
      </w:r>
      <w:r>
        <w:rPr>
          <w:i/>
          <w:iCs/>
        </w:rPr>
        <w:t>loi de Say</w:t>
      </w:r>
      <w:r>
        <w:rPr/>
        <w:t> », pour expliquer que la dynamique du capitalisme pouvait, voire devait, générer des crises spécifiques. Et si les modèles d'inspiration keynésienne s'en tiennent à montrer les effets des différences des comportements sur la croissance</w:t>
      </w:r>
      <w:r>
        <w:rPr>
          <w:rStyle w:val="Ancredenotedebasdepage"/>
        </w:rPr>
        <w:footnoteReference w:id="54"/>
      </w:r>
      <w:r>
        <w:rPr/>
        <w:t>, mettre la répartition entre salaires et profits au cœur de cette dynamique amène d'autres analyses à s'interroger sur cette répartition même. Et au lieu de faire du salaire et du profit les prix de « </w:t>
      </w:r>
      <w:r>
        <w:rPr>
          <w:i/>
          <w:iCs/>
        </w:rPr>
        <w:t>services productifs</w:t>
      </w:r>
      <w:r>
        <w:rPr/>
        <w:t> » venant de « </w:t>
      </w:r>
      <w:r>
        <w:rPr>
          <w:i/>
          <w:iCs/>
        </w:rPr>
        <w:t>facteurs de production</w:t>
      </w:r>
      <w:r>
        <w:rPr/>
        <w:t> » et, comme n'importe quel prix, déterminés sur les « </w:t>
      </w:r>
      <w:r>
        <w:rPr>
          <w:i/>
          <w:iCs/>
        </w:rPr>
        <w:t>marchés</w:t>
      </w:r>
      <w:r>
        <w:rPr/>
        <w:t xml:space="preserve"> » ad hoc, ces analyses renouvellent des conceptions que les classiques (Smith le premier) et Marx avaient commencées à élaborer, qui toutes reconnaissent les classes sociales comme protagonistes des rapports qui se nouent dans les activités économiques. </w:t>
      </w:r>
    </w:p>
    <w:p>
      <w:pPr>
        <w:pStyle w:val="Normal"/>
        <w:jc w:val="both"/>
        <w:rPr/>
      </w:pPr>
      <w:r>
        <w:rPr/>
        <w:t>Il est donc possible, aujourd'hui comme il y a deux siècles, de concevoir que la dynamique de long terme dépend de la répartition du produit entre classes sociales, et de concevoir celle-ci comme enjeu d'un conflit</w:t>
      </w:r>
      <w:r>
        <w:rPr>
          <w:rStyle w:val="Ancredenotedebasdepage"/>
        </w:rPr>
        <w:footnoteReference w:id="55"/>
      </w:r>
      <w:r>
        <w:rPr/>
        <w:t>.</w:t>
      </w:r>
    </w:p>
    <w:p>
      <w:pPr>
        <w:pStyle w:val="Normal"/>
        <w:jc w:val="both"/>
        <w:rPr/>
      </w:pPr>
      <w:r>
        <w:rPr/>
      </w:r>
    </w:p>
    <w:p>
      <w:pPr>
        <w:pStyle w:val="Normal"/>
        <w:jc w:val="both"/>
        <w:rPr/>
      </w:pPr>
      <w:r>
        <w:rPr/>
        <w:t>Il est clair au demeurant que de telles analyses, qui peuvent s'enrichir de la prise en compte de la financiarisation de l'économie depuis trente ans, rompent avec les schémas standards, que ce soit par la conception du domaine économique, nécessairement plus large que celle des économistes néo-classiques, ou par la conception des rapports qui se nouent dans ce domaine : ceux-ci ne sont plus réduits à des rapports marchands entre individus, réputés libres et égaux et, bien sûr, guidés par leur seule raison.  C'est précisément pourquoi elles sont ignorées non seulement des programmes actuels mais aussi de la majorité des supports d'enseignement de SES, et pourquoi les supports qui font une petite place à des observations sortant du cadre des modèles standards sont handicapés par l'absence de perspective théorique : c'est l'effet du lexique.</w:t>
      </w:r>
    </w:p>
    <w:p>
      <w:pPr>
        <w:pStyle w:val="Normal"/>
        <w:jc w:val="both"/>
        <w:rPr/>
      </w:pPr>
      <w:r>
        <w:rPr/>
      </w:r>
    </w:p>
    <w:p>
      <w:pPr>
        <w:pStyle w:val="Normal"/>
        <w:jc w:val="both"/>
        <w:rPr>
          <w:b/>
          <w:b/>
          <w:bCs/>
          <w:sz w:val="26"/>
          <w:szCs w:val="26"/>
        </w:rPr>
      </w:pPr>
      <w:r>
        <w:rPr>
          <w:b/>
          <w:bCs/>
          <w:sz w:val="26"/>
          <w:szCs w:val="26"/>
        </w:rPr>
        <w:t>II-2. Présentation de la crise actuelle : effets de lexique et limites du débat</w:t>
      </w:r>
    </w:p>
    <w:p>
      <w:pPr>
        <w:pStyle w:val="Normal"/>
        <w:jc w:val="both"/>
        <w:rPr/>
      </w:pPr>
      <w:r>
        <w:rPr/>
      </w:r>
    </w:p>
    <w:p>
      <w:pPr>
        <w:pStyle w:val="Normal"/>
        <w:spacing w:lineRule="atLeast" w:line="100"/>
        <w:jc w:val="both"/>
        <w:rPr>
          <w:color w:val="000000"/>
        </w:rPr>
      </w:pPr>
      <w:r>
        <w:rPr>
          <w:color w:val="000000"/>
        </w:rPr>
        <w:t>« </w:t>
      </w:r>
      <w:r>
        <w:rPr>
          <w:i/>
          <w:iCs/>
          <w:color w:val="000000"/>
        </w:rPr>
        <w:t>Chocs</w:t>
      </w:r>
      <w:r>
        <w:rPr>
          <w:color w:val="000000"/>
        </w:rPr>
        <w:t> », « </w:t>
      </w:r>
      <w:r>
        <w:rPr>
          <w:i/>
          <w:iCs/>
          <w:color w:val="000000"/>
        </w:rPr>
        <w:t>Rupture d'équilibre</w:t>
      </w:r>
      <w:r>
        <w:rPr>
          <w:color w:val="000000"/>
        </w:rPr>
        <w:t> », et pour la finance « </w:t>
      </w:r>
      <w:r>
        <w:rPr>
          <w:i/>
          <w:iCs/>
          <w:color w:val="000000"/>
        </w:rPr>
        <w:t>excès</w:t>
      </w:r>
      <w:r>
        <w:rPr>
          <w:color w:val="000000"/>
        </w:rPr>
        <w:t> ». Pourquoi ces mots s'imposent-ils si facilement, au point que soient présentés comme des chocs, par exemple, des processus dont on ne voit pas en quoi ce sont des chocs, ou des explications qui n'ont rien à y voir ?</w:t>
      </w:r>
    </w:p>
    <w:p>
      <w:pPr>
        <w:pStyle w:val="Normal"/>
        <w:jc w:val="both"/>
        <w:rPr>
          <w:color w:val="000000"/>
        </w:rPr>
      </w:pPr>
      <w:r>
        <w:rPr>
          <w:color w:val="000000"/>
        </w:rPr>
        <w:t>Il s'agit selon nous d'effets de lexique. Montrons à présent comment le lexique de notre temps marque les diverses façons de traiter en SES la crise actuelle, même si certains discours concurrents se manifestent, dans les limites de leur compatibilité avec le sens du capitalisme aujourd'hui.</w:t>
      </w:r>
    </w:p>
    <w:p>
      <w:pPr>
        <w:pStyle w:val="Normal"/>
        <w:jc w:val="both"/>
        <w:rPr>
          <w:color w:val="000000"/>
        </w:rPr>
      </w:pPr>
      <w:r>
        <w:rPr>
          <w:color w:val="000000"/>
        </w:rPr>
      </w:r>
    </w:p>
    <w:p>
      <w:pPr>
        <w:pStyle w:val="Normal"/>
        <w:jc w:val="both"/>
        <w:rPr>
          <w:color w:val="0000FF"/>
        </w:rPr>
      </w:pPr>
      <w:r>
        <w:rPr>
          <w:color w:val="000000"/>
        </w:rPr>
        <w:t>Du « </w:t>
      </w:r>
      <w:r>
        <w:rPr>
          <w:i/>
          <w:iCs/>
          <w:color w:val="000000"/>
        </w:rPr>
        <w:t>marché</w:t>
      </w:r>
      <w:r>
        <w:rPr>
          <w:color w:val="000000"/>
        </w:rPr>
        <w:t> » aux « </w:t>
      </w:r>
      <w:r>
        <w:rPr>
          <w:i/>
          <w:iCs/>
          <w:color w:val="000000"/>
        </w:rPr>
        <w:t>chocs</w:t>
      </w:r>
      <w:r>
        <w:rPr>
          <w:color w:val="000000"/>
        </w:rPr>
        <w:t> », la force du lexique</w:t>
      </w:r>
    </w:p>
    <w:p>
      <w:pPr>
        <w:pStyle w:val="Normal"/>
        <w:jc w:val="both"/>
        <w:rPr>
          <w:color w:val="000000"/>
        </w:rPr>
      </w:pPr>
      <w:r>
        <w:rPr>
          <w:color w:val="000000"/>
        </w:rPr>
      </w:r>
    </w:p>
    <w:p>
      <w:pPr>
        <w:pStyle w:val="Normal"/>
        <w:spacing w:lineRule="atLeast" w:line="100"/>
        <w:jc w:val="both"/>
        <w:rPr>
          <w:color w:val="000000"/>
        </w:rPr>
      </w:pPr>
      <w:r>
        <w:rPr>
          <w:color w:val="000000"/>
        </w:rPr>
        <w:t>La prééminence du marché comme régulateur – à travers la notion de coordination – s’explique dans les contenus à enseigner par la force de ce mot dans le lexique de notre temps : c’est en effet le mot-clé du registre de la liberté, désormais premier face à celui de l’égalité. La réalité du marché comme mode de régulation sociale n'est jamais discutée, elle va de soi. C'est ainsi que lors d'un entretien une enseignante a contesté la quasi-disparition de la notion de régulation dans les contenus de SES, au profit de celle de coordination ; mais l'échange a montré ensuite qu'elle employait « </w:t>
      </w:r>
      <w:r>
        <w:rPr>
          <w:i/>
          <w:iCs/>
          <w:color w:val="000000"/>
        </w:rPr>
        <w:t>régulation</w:t>
      </w:r>
      <w:r>
        <w:rPr>
          <w:color w:val="000000"/>
        </w:rPr>
        <w:t> » au sens anglo-saxon, en tout cas au sens d'une intervention de l'État. L'idée que le marché soit un mode de régulation, parmi d'autres, était apparemment inconcevable.</w:t>
      </w:r>
    </w:p>
    <w:p>
      <w:pPr>
        <w:pStyle w:val="Normal"/>
        <w:spacing w:lineRule="atLeast" w:line="100"/>
        <w:jc w:val="both"/>
        <w:rPr>
          <w:color w:val="000000"/>
        </w:rPr>
      </w:pPr>
      <w:r>
        <w:rPr>
          <w:color w:val="000000"/>
        </w:rPr>
        <w:t>Sur cette base, l'explication standard de la crise s'impose comme une évidence. Tel que notre monde est décrit sous ce régime intellectuel, en effet, des individus rationnels et libres de passer des marchés trouvent à travers ceux-ci une procédure qui parvient à coordonner leurs choix de façon satisfaisante, et seul un événement extérieur – un « </w:t>
      </w:r>
      <w:r>
        <w:rPr>
          <w:i/>
          <w:iCs/>
          <w:color w:val="000000"/>
        </w:rPr>
        <w:t>choc</w:t>
      </w:r>
      <w:r>
        <w:rPr>
          <w:color w:val="000000"/>
        </w:rPr>
        <w:t> » – est susceptible de perturber cet « </w:t>
      </w:r>
      <w:r>
        <w:rPr>
          <w:i/>
          <w:iCs/>
          <w:color w:val="000000"/>
        </w:rPr>
        <w:t>équilibre</w:t>
      </w:r>
      <w:r>
        <w:rPr>
          <w:color w:val="000000"/>
        </w:rPr>
        <w:t xml:space="preserve"> ». </w:t>
      </w:r>
    </w:p>
    <w:p>
      <w:pPr>
        <w:pStyle w:val="Notedebasdepage"/>
        <w:spacing w:lineRule="atLeast" w:line="100"/>
        <w:ind w:left="0" w:right="0" w:hanging="0"/>
        <w:jc w:val="both"/>
        <w:rPr>
          <w:color w:val="000000"/>
          <w:sz w:val="24"/>
          <w:szCs w:val="24"/>
        </w:rPr>
      </w:pPr>
      <w:r>
        <w:rPr>
          <w:color w:val="000000"/>
          <w:sz w:val="24"/>
          <w:szCs w:val="24"/>
        </w:rPr>
        <w:t>La spécification, apparemment indispensable, des chocs en « </w:t>
      </w:r>
      <w:r>
        <w:rPr>
          <w:i/>
          <w:iCs/>
          <w:color w:val="000000"/>
          <w:sz w:val="24"/>
          <w:szCs w:val="24"/>
        </w:rPr>
        <w:t>chocs de demande</w:t>
      </w:r>
      <w:r>
        <w:rPr>
          <w:color w:val="000000"/>
          <w:sz w:val="24"/>
          <w:szCs w:val="24"/>
        </w:rPr>
        <w:t> » et « </w:t>
      </w:r>
      <w:r>
        <w:rPr>
          <w:i/>
          <w:iCs/>
          <w:color w:val="000000"/>
          <w:sz w:val="24"/>
          <w:szCs w:val="24"/>
        </w:rPr>
        <w:t>chocs d'offre</w:t>
      </w:r>
      <w:r>
        <w:rPr>
          <w:color w:val="000000"/>
          <w:sz w:val="24"/>
          <w:szCs w:val="24"/>
        </w:rPr>
        <w:t xml:space="preserve"> » renforce l'effet de lexique, en imposant la référence au marché : les chocs se conçoivent </w:t>
      </w:r>
    </w:p>
    <w:p>
      <w:pPr>
        <w:pStyle w:val="Notedebasdepage"/>
        <w:spacing w:lineRule="atLeast" w:line="100"/>
        <w:ind w:left="0" w:right="0" w:hanging="0"/>
        <w:jc w:val="both"/>
        <w:rPr>
          <w:color w:val="000000"/>
          <w:sz w:val="24"/>
          <w:szCs w:val="24"/>
        </w:rPr>
      </w:pPr>
      <w:r>
        <w:rPr>
          <w:color w:val="000000"/>
          <w:sz w:val="24"/>
          <w:szCs w:val="24"/>
        </w:rPr>
        <w:t>relativement à l'un des deux « </w:t>
      </w:r>
      <w:r>
        <w:rPr>
          <w:i/>
          <w:iCs/>
          <w:color w:val="000000"/>
          <w:sz w:val="24"/>
          <w:szCs w:val="24"/>
        </w:rPr>
        <w:t>côtés</w:t>
      </w:r>
      <w:r>
        <w:rPr>
          <w:color w:val="000000"/>
          <w:sz w:val="24"/>
          <w:szCs w:val="24"/>
        </w:rPr>
        <w:t> » - en anglais on dit « </w:t>
      </w:r>
      <w:r>
        <w:rPr>
          <w:i/>
          <w:iCs/>
          <w:color w:val="000000"/>
          <w:sz w:val="24"/>
          <w:szCs w:val="24"/>
        </w:rPr>
        <w:t>supply-side shock</w:t>
      </w:r>
      <w:r>
        <w:rPr>
          <w:color w:val="000000"/>
          <w:sz w:val="24"/>
          <w:szCs w:val="24"/>
        </w:rPr>
        <w:t> », or « </w:t>
      </w:r>
      <w:r>
        <w:rPr>
          <w:i/>
          <w:iCs/>
          <w:color w:val="000000"/>
          <w:sz w:val="24"/>
          <w:szCs w:val="24"/>
        </w:rPr>
        <w:t xml:space="preserve">demand-side </w:t>
      </w:r>
    </w:p>
    <w:p>
      <w:pPr>
        <w:pStyle w:val="Notedebasdepage"/>
        <w:spacing w:lineRule="atLeast" w:line="100"/>
        <w:jc w:val="both"/>
        <w:rPr>
          <w:color w:val="000000"/>
          <w:sz w:val="24"/>
          <w:szCs w:val="24"/>
        </w:rPr>
      </w:pPr>
      <w:r>
        <w:rPr>
          <w:i/>
          <w:iCs/>
          <w:color w:val="000000"/>
          <w:sz w:val="24"/>
          <w:szCs w:val="24"/>
        </w:rPr>
        <w:t>shock</w:t>
      </w:r>
      <w:r>
        <w:rPr>
          <w:color w:val="000000"/>
          <w:sz w:val="24"/>
          <w:szCs w:val="24"/>
        </w:rPr>
        <w:t xml:space="preserve"> » – du marché. Leur résultat ne peut être compris, par conséquent, qu'en rapport avec </w:t>
      </w:r>
    </w:p>
    <w:p>
      <w:pPr>
        <w:pStyle w:val="Notedebasdepage"/>
        <w:spacing w:lineRule="atLeast" w:line="100"/>
        <w:jc w:val="both"/>
        <w:rPr>
          <w:color w:val="000000"/>
          <w:sz w:val="24"/>
          <w:szCs w:val="24"/>
        </w:rPr>
      </w:pPr>
      <w:r>
        <w:rPr>
          <w:color w:val="000000"/>
          <w:sz w:val="24"/>
          <w:szCs w:val="24"/>
        </w:rPr>
        <w:t>« </w:t>
      </w:r>
      <w:r>
        <w:rPr>
          <w:i/>
          <w:iCs/>
          <w:color w:val="000000"/>
          <w:sz w:val="24"/>
          <w:szCs w:val="24"/>
        </w:rPr>
        <w:t>l'équilibre</w:t>
      </w:r>
      <w:r>
        <w:rPr>
          <w:color w:val="000000"/>
          <w:sz w:val="24"/>
          <w:szCs w:val="24"/>
        </w:rPr>
        <w:t> » entre ces deux « </w:t>
      </w:r>
      <w:r>
        <w:rPr>
          <w:i/>
          <w:iCs/>
          <w:color w:val="000000"/>
          <w:sz w:val="24"/>
          <w:szCs w:val="24"/>
        </w:rPr>
        <w:t>côtés</w:t>
      </w:r>
      <w:r>
        <w:rPr>
          <w:color w:val="000000"/>
          <w:sz w:val="24"/>
          <w:szCs w:val="24"/>
        </w:rPr>
        <w:t> ».</w:t>
      </w:r>
    </w:p>
    <w:p>
      <w:pPr>
        <w:pStyle w:val="Normal"/>
        <w:spacing w:lineRule="atLeast" w:line="100"/>
        <w:jc w:val="both"/>
        <w:rPr>
          <w:color w:val="000000"/>
        </w:rPr>
      </w:pPr>
      <w:r>
        <w:rPr>
          <w:color w:val="000000"/>
        </w:rPr>
        <w:t>L'un des entretiens que nous avons réalisé le confirme : pour cet enseignant, l'explication par les « </w:t>
      </w:r>
      <w:r>
        <w:rPr>
          <w:i/>
          <w:iCs/>
          <w:color w:val="000000"/>
        </w:rPr>
        <w:t>chocs</w:t>
      </w:r>
      <w:r>
        <w:rPr>
          <w:color w:val="000000"/>
        </w:rPr>
        <w:t> » est un acquis de la science économique.</w:t>
      </w:r>
    </w:p>
    <w:p>
      <w:pPr>
        <w:pStyle w:val="Normal"/>
        <w:spacing w:lineRule="atLeast" w:line="100"/>
        <w:jc w:val="both"/>
        <w:rPr>
          <w:color w:val="000000"/>
        </w:rPr>
      </w:pPr>
      <w:r>
        <w:rPr>
          <w:color w:val="000000"/>
        </w:rPr>
        <w:t>Et s'il faut enrichir l'explication en intégrant la dimension financière de la crise, le lexique énonce comment le faire : dans un monde où les individus sont rationnels, la crise ne peut venir que des « </w:t>
      </w:r>
      <w:r>
        <w:rPr>
          <w:i/>
          <w:iCs/>
          <w:color w:val="000000"/>
        </w:rPr>
        <w:t>excès</w:t>
      </w:r>
      <w:r>
        <w:rPr>
          <w:color w:val="000000"/>
        </w:rPr>
        <w:t> » auxquels conduisent des comportements irrationnels.</w:t>
      </w:r>
    </w:p>
    <w:p>
      <w:pPr>
        <w:pStyle w:val="Normal"/>
        <w:spacing w:lineRule="atLeast" w:line="100"/>
        <w:jc w:val="both"/>
        <w:rPr>
          <w:color w:val="000000"/>
        </w:rPr>
      </w:pPr>
      <w:r>
        <w:rPr>
          <w:color w:val="000000"/>
        </w:rPr>
        <w:t>Si nous avons bien observé la prééminence d'une telle explication dans notre examen, il reste à rendre compte des écarts constatés dans quelques supports d'enseignement.</w:t>
      </w:r>
    </w:p>
    <w:p>
      <w:pPr>
        <w:pStyle w:val="Normal"/>
        <w:spacing w:lineRule="atLeast" w:line="100"/>
        <w:jc w:val="both"/>
        <w:rPr>
          <w:color w:val="000000"/>
        </w:rPr>
      </w:pPr>
      <w:r>
        <w:rPr>
          <w:color w:val="000000"/>
        </w:rPr>
      </w:r>
    </w:p>
    <w:p>
      <w:pPr>
        <w:pStyle w:val="Normal"/>
        <w:spacing w:lineRule="atLeast" w:line="100"/>
        <w:jc w:val="both"/>
        <w:rPr>
          <w:color w:val="0000FF"/>
        </w:rPr>
      </w:pPr>
      <w:r>
        <w:rPr>
          <w:color w:val="000000"/>
        </w:rPr>
        <w:t>Des matériaux empiriques susceptibles de nourrir des présentations alternatives ?</w:t>
      </w:r>
    </w:p>
    <w:p>
      <w:pPr>
        <w:pStyle w:val="Normal"/>
        <w:spacing w:lineRule="atLeast" w:line="100"/>
        <w:jc w:val="both"/>
        <w:rPr>
          <w:color w:val="000000"/>
        </w:rPr>
      </w:pPr>
      <w:r>
        <w:rPr>
          <w:color w:val="000000"/>
        </w:rPr>
      </w:r>
    </w:p>
    <w:p>
      <w:pPr>
        <w:pStyle w:val="Normal"/>
        <w:jc w:val="both"/>
        <w:rPr>
          <w:color w:val="000000"/>
        </w:rPr>
      </w:pPr>
      <w:r>
        <w:rPr>
          <w:color w:val="000000"/>
        </w:rPr>
        <w:t>Rappelons les observations que nous avons faites sur une part, réduite, des supports d'enseignement examinés :</w:t>
      </w:r>
    </w:p>
    <w:p>
      <w:pPr>
        <w:pStyle w:val="Normal"/>
        <w:numPr>
          <w:ilvl w:val="0"/>
          <w:numId w:val="6"/>
        </w:numPr>
        <w:jc w:val="both"/>
        <w:rPr>
          <w:color w:val="000000"/>
        </w:rPr>
      </w:pPr>
      <w:r>
        <w:rPr>
          <w:color w:val="000000"/>
        </w:rPr>
        <w:t>l'explication de la crise par des « </w:t>
      </w:r>
      <w:r>
        <w:rPr>
          <w:i/>
          <w:iCs/>
          <w:color w:val="000000"/>
        </w:rPr>
        <w:t>chocs</w:t>
      </w:r>
      <w:r>
        <w:rPr>
          <w:color w:val="000000"/>
        </w:rPr>
        <w:t> », exogènes, est mise en doute, d'une façon ou d'une autre, et cela touche en particulier le jeu des variations de la demande, d'une part, et celui des activités monétaires et financières, d'autre part ;</w:t>
      </w:r>
    </w:p>
    <w:p>
      <w:pPr>
        <w:pStyle w:val="Normal"/>
        <w:numPr>
          <w:ilvl w:val="0"/>
          <w:numId w:val="6"/>
        </w:numPr>
        <w:jc w:val="both"/>
        <w:rPr>
          <w:color w:val="000000"/>
        </w:rPr>
      </w:pPr>
      <w:r>
        <w:rPr>
          <w:color w:val="000000"/>
        </w:rPr>
        <w:t>la place des inégalités dans la dynamique de la crise pose question.</w:t>
      </w:r>
    </w:p>
    <w:p>
      <w:pPr>
        <w:pStyle w:val="Normal"/>
        <w:jc w:val="both"/>
        <w:rPr>
          <w:color w:val="000000"/>
        </w:rPr>
      </w:pPr>
      <w:r>
        <w:rPr>
          <w:color w:val="000000"/>
        </w:rPr>
        <w:t>Pourquoi les supports examinés ne recourent-ils pas aux modèles explicatifs susceptibles d'apporter des réponses à ces questions ? Pourquoi les références alternatives au modèle standard se limitent-elles à des éléments keynésiens issus du « </w:t>
      </w:r>
      <w:r>
        <w:rPr>
          <w:i/>
          <w:iCs/>
          <w:color w:val="000000"/>
        </w:rPr>
        <w:t>keynésianisme de la synthèse</w:t>
      </w:r>
      <w:r>
        <w:rPr>
          <w:color w:val="000000"/>
        </w:rPr>
        <w:t> », compatibles avec ce modèle ?</w:t>
      </w:r>
    </w:p>
    <w:p>
      <w:pPr>
        <w:pStyle w:val="Normal"/>
        <w:jc w:val="both"/>
        <w:rPr>
          <w:color w:val="000000"/>
        </w:rPr>
      </w:pPr>
      <w:r>
        <w:rPr>
          <w:color w:val="000000"/>
        </w:rPr>
        <w:t>La réponse à cette double interrogation réside à notre avis dans la force du lexique aujourd'hui à l'œuvre, et l'état de la concurrence entre discours sur le monde, à ce point de la trajectoire du capitalisme en France.</w:t>
      </w:r>
    </w:p>
    <w:p>
      <w:pPr>
        <w:pStyle w:val="Normal"/>
        <w:jc w:val="both"/>
        <w:rPr/>
      </w:pPr>
      <w:r>
        <w:rPr>
          <w:color w:val="000000"/>
        </w:rPr>
        <w:t>Aujourd'hui en effet, les enseignants de SES comme de nombreux économistes</w:t>
      </w:r>
      <w:r>
        <w:rPr>
          <w:rStyle w:val="Ancredenotedebasdepage"/>
          <w:color w:val="000000"/>
        </w:rPr>
        <w:footnoteReference w:id="56"/>
      </w:r>
      <w:r>
        <w:rPr>
          <w:color w:val="000000"/>
        </w:rPr>
        <w:t xml:space="preserve"> ont dû reconnaître, d'une façon ou d'une autre, l'accroissement des « </w:t>
      </w:r>
      <w:r>
        <w:rPr>
          <w:i/>
          <w:iCs/>
          <w:color w:val="000000"/>
        </w:rPr>
        <w:t>inégalités</w:t>
      </w:r>
      <w:r>
        <w:rPr>
          <w:color w:val="000000"/>
        </w:rPr>
        <w:t> » de richesse</w:t>
      </w:r>
      <w:r>
        <w:rPr>
          <w:rStyle w:val="Ancredenotedebasdepage"/>
          <w:color w:val="000000"/>
        </w:rPr>
        <w:footnoteReference w:id="57"/>
      </w:r>
      <w:r>
        <w:rPr>
          <w:color w:val="000000"/>
        </w:rPr>
        <w:t>. La concomitance de ce processus et de la crise actuelle a ainsi conduit quelques supports d'enseignement à relier des observations de l'accroissement des inégalités avec la dynamique récente de la croissance économique. Avançons que les expériences de nos contemporains, dont nous avons souligné le rôle dans notre démarche théorique, ont suffisamment changé avec cet accroissement pour alimenter un sentiment d'injustice (Solans, 2008). Le prétendu effet de « </w:t>
      </w:r>
      <w:r>
        <w:rPr>
          <w:i/>
          <w:iCs/>
          <w:color w:val="000000"/>
        </w:rPr>
        <w:t>ruissellement</w:t>
      </w:r>
      <w:r>
        <w:rPr>
          <w:color w:val="000000"/>
        </w:rPr>
        <w:t> » devient de plus en plus difficile à défendre, théoriquement et empiriquement, et les discours tenus publiquement évoluent</w:t>
      </w:r>
      <w:r>
        <w:rPr>
          <w:rStyle w:val="Ancredenotedebasdepage"/>
          <w:color w:val="000000"/>
        </w:rPr>
        <w:footnoteReference w:id="58"/>
      </w:r>
      <w:r>
        <w:rPr>
          <w:color w:val="000000"/>
        </w:rPr>
        <w:t>.</w:t>
      </w:r>
    </w:p>
    <w:p>
      <w:pPr>
        <w:pStyle w:val="Normal"/>
        <w:jc w:val="both"/>
        <w:rPr>
          <w:color w:val="000000"/>
        </w:rPr>
      </w:pPr>
      <w:r>
        <w:rPr>
          <w:color w:val="000000"/>
        </w:rPr>
        <w:t>Au même moment apparaît, par exemple chez certains des enseignants avec qui nous nous sommes entretenus, une reconnaissance du caractère conflictuel de la répartition du produit.</w:t>
      </w:r>
    </w:p>
    <w:p>
      <w:pPr>
        <w:pStyle w:val="Normal"/>
        <w:jc w:val="both"/>
        <w:rPr>
          <w:color w:val="000000"/>
        </w:rPr>
      </w:pPr>
      <w:r>
        <w:rPr>
          <w:color w:val="000000"/>
        </w:rPr>
        <w:t>Les matériaux empiriques sont donc rassemblés pour des présentations de la crise actuelle qui feraient concurrence à l'explication standard. Mais le régime intellectuel que nous avons décrit supra reste assez fort pour maintenir les tentatives en ce sens dans la confusion.</w:t>
      </w:r>
    </w:p>
    <w:p>
      <w:pPr>
        <w:pStyle w:val="Normal"/>
        <w:jc w:val="both"/>
        <w:rPr>
          <w:color w:val="000000"/>
        </w:rPr>
      </w:pPr>
      <w:r>
        <w:rPr>
          <w:color w:val="000000"/>
        </w:rPr>
        <w:t>Comme nous l'avons montré supra, l'intégration de l'accroissement des inégalités de richesse implique de concevoir les rapports économiques autrement qu'en termes interindividuels, car sinon l'origine d'une telle tendance est incompréhensible. Or le lexique de notre temps nous impose de penser notre société comme un ensemble de relations interindividuelles.</w:t>
      </w:r>
    </w:p>
    <w:p>
      <w:pPr>
        <w:pStyle w:val="Normal"/>
        <w:jc w:val="both"/>
        <w:rPr>
          <w:color w:val="000000"/>
        </w:rPr>
      </w:pPr>
      <w:r>
        <w:rPr>
          <w:color w:val="000000"/>
        </w:rPr>
      </w:r>
    </w:p>
    <w:p>
      <w:pPr>
        <w:pStyle w:val="Normal"/>
        <w:jc w:val="both"/>
        <w:rPr>
          <w:color w:val="0000FF"/>
        </w:rPr>
      </w:pPr>
      <w:r>
        <w:rPr>
          <w:color w:val="000000"/>
        </w:rPr>
        <w:t>Force du lexique et confusion sociale</w:t>
      </w:r>
    </w:p>
    <w:p>
      <w:pPr>
        <w:pStyle w:val="Normal"/>
        <w:jc w:val="both"/>
        <w:rPr>
          <w:color w:val="000000"/>
        </w:rPr>
      </w:pPr>
      <w:r>
        <w:rPr>
          <w:color w:val="000000"/>
        </w:rPr>
      </w:r>
    </w:p>
    <w:p>
      <w:pPr>
        <w:pStyle w:val="Normal"/>
        <w:jc w:val="both"/>
        <w:rPr/>
      </w:pPr>
      <w:r>
        <w:rPr>
          <w:color w:val="000000"/>
        </w:rPr>
        <w:t>Une illustration ressort bien d'une enquête que nous avons menée cette année</w:t>
      </w:r>
      <w:r>
        <w:rPr>
          <w:rStyle w:val="Ancredenotedebasdepage"/>
          <w:color w:val="000000"/>
        </w:rPr>
        <w:footnoteReference w:id="59"/>
      </w:r>
      <w:r>
        <w:rPr>
          <w:color w:val="000000"/>
        </w:rPr>
        <w:t>. À la question « </w:t>
      </w:r>
      <w:r>
        <w:rPr>
          <w:i/>
          <w:iCs/>
          <w:color w:val="000000"/>
        </w:rPr>
        <w:t>Considérez-vous que l'économie traite des rapports entre agents/acteurs/individus/classes/autres ?</w:t>
      </w:r>
      <w:r>
        <w:rPr>
          <w:color w:val="000000"/>
        </w:rPr>
        <w:t> », 12,5 % des enseignants ont répondu à la fois « </w:t>
      </w:r>
      <w:r>
        <w:rPr>
          <w:i/>
          <w:iCs/>
          <w:color w:val="000000"/>
        </w:rPr>
        <w:t>individus</w:t>
      </w:r>
      <w:r>
        <w:rPr>
          <w:color w:val="000000"/>
        </w:rPr>
        <w:t> » et « </w:t>
      </w:r>
      <w:r>
        <w:rPr>
          <w:i/>
          <w:iCs/>
          <w:color w:val="000000"/>
        </w:rPr>
        <w:t>classes</w:t>
      </w:r>
      <w:r>
        <w:rPr>
          <w:color w:val="000000"/>
        </w:rPr>
        <w:t> », alors que d'un point de vue théorique les deux réponses s'excluent mutuellement. Si l'on y ajoute la prédominance des réponses en termes d'« </w:t>
      </w:r>
      <w:r>
        <w:rPr>
          <w:i/>
          <w:iCs/>
          <w:color w:val="000000"/>
        </w:rPr>
        <w:t>agents</w:t>
      </w:r>
      <w:r>
        <w:rPr>
          <w:color w:val="000000"/>
        </w:rPr>
        <w:t> » (58%)</w:t>
      </w:r>
      <w:r>
        <w:rPr>
          <w:rStyle w:val="Ancredenotedebasdepage"/>
          <w:color w:val="000000"/>
        </w:rPr>
        <w:footnoteReference w:id="60"/>
      </w:r>
      <w:r>
        <w:rPr>
          <w:color w:val="000000"/>
        </w:rPr>
        <w:t>, il apparaît qu'une majorité de réponses en reste à une conception vague des protagonistes des rapports économiques, en tout cas des réponses qui empêchent de s'interroger sur la logique des comportements de ces protagonistes. Si ce sont des individus, ils sont réputés homogènes de par leur rationalité calculatrice, si ce sont des agents, ils remplissent une fonction dans un cadre conçu en termes macroéconomiques. Comment, dans ce cadre, expliquer par exemple le comportement des «</w:t>
      </w:r>
      <w:r>
        <w:rPr>
          <w:i/>
          <w:iCs/>
          <w:color w:val="000000"/>
        </w:rPr>
        <w:t> banques</w:t>
      </w:r>
      <w:r>
        <w:rPr>
          <w:color w:val="000000"/>
        </w:rPr>
        <w:t> », à qui la grande majorité des explications prête un caractère « </w:t>
      </w:r>
      <w:r>
        <w:rPr>
          <w:i/>
          <w:iCs/>
          <w:color w:val="000000"/>
        </w:rPr>
        <w:t>excessif</w:t>
      </w:r>
      <w:r>
        <w:rPr>
          <w:color w:val="000000"/>
        </w:rPr>
        <w:t> » ?</w:t>
      </w:r>
    </w:p>
    <w:p>
      <w:pPr>
        <w:pStyle w:val="Normal"/>
        <w:jc w:val="both"/>
        <w:rPr/>
      </w:pPr>
      <w:r>
        <w:rPr>
          <w:color w:val="000000"/>
        </w:rPr>
        <w:t>Il semble ainsi difficile de concevoir que la dynamique économique dépende de rapports conflictuels entre des groupes sociaux aux intérêts distincts, et encore plus difficile de parler de conflits de classes sociales. À la remarque précédente sur la confusion des réponses retenant à la fois « </w:t>
      </w:r>
      <w:r>
        <w:rPr>
          <w:i/>
          <w:iCs/>
          <w:color w:val="000000"/>
        </w:rPr>
        <w:t>individus</w:t>
      </w:r>
      <w:r>
        <w:rPr>
          <w:color w:val="000000"/>
        </w:rPr>
        <w:t> » et « </w:t>
      </w:r>
      <w:r>
        <w:rPr>
          <w:i/>
          <w:iCs/>
          <w:color w:val="000000"/>
        </w:rPr>
        <w:t>classes</w:t>
      </w:r>
      <w:r>
        <w:rPr>
          <w:color w:val="000000"/>
        </w:rPr>
        <w:t> », ajoutons que les réponses qui contiennent « </w:t>
      </w:r>
      <w:r>
        <w:rPr>
          <w:i/>
          <w:iCs/>
          <w:color w:val="000000"/>
        </w:rPr>
        <w:t>classes</w:t>
      </w:r>
      <w:r>
        <w:rPr>
          <w:color w:val="000000"/>
        </w:rPr>
        <w:t> » laissent parfois supposer une acception vague du terme : sur les 40 réponses</w:t>
      </w:r>
      <w:r>
        <w:rPr>
          <w:rStyle w:val="Ancredenotedebasdepage"/>
          <w:color w:val="000000"/>
        </w:rPr>
        <w:footnoteReference w:id="61"/>
      </w:r>
      <w:r>
        <w:rPr>
          <w:color w:val="000000"/>
        </w:rPr>
        <w:t xml:space="preserve"> (26% de l'effectif) concernées, 16, soit 40 %, sont à relier avec une sélection de concepts-clés où apparaît au moins un concept-clé du modèle standard</w:t>
      </w:r>
      <w:r>
        <w:rPr>
          <w:rStyle w:val="Ancredenotedebasdepage"/>
          <w:color w:val="000000"/>
        </w:rPr>
        <w:footnoteReference w:id="62"/>
      </w:r>
      <w:r>
        <w:rPr>
          <w:color w:val="000000"/>
        </w:rPr>
        <w:t>. Avoir répondu « </w:t>
      </w:r>
      <w:r>
        <w:rPr>
          <w:i/>
          <w:iCs/>
          <w:color w:val="000000"/>
        </w:rPr>
        <w:t>classes</w:t>
      </w:r>
      <w:r>
        <w:rPr>
          <w:color w:val="000000"/>
        </w:rPr>
        <w:t> » ne signifie pas forcément, dès lors, concevoir les rapports économiques comme des rapports sociaux de classes</w:t>
      </w:r>
      <w:r>
        <w:rPr>
          <w:rStyle w:val="Ancredenotedebasdepage"/>
          <w:color w:val="000000"/>
        </w:rPr>
        <w:footnoteReference w:id="63"/>
      </w:r>
      <w:r>
        <w:rPr>
          <w:color w:val="000000"/>
        </w:rPr>
        <w:t>.</w:t>
      </w:r>
    </w:p>
    <w:p>
      <w:pPr>
        <w:pStyle w:val="Normal"/>
        <w:jc w:val="both"/>
        <w:rPr>
          <w:color w:val="000000"/>
        </w:rPr>
      </w:pPr>
      <w:r>
        <w:rPr>
          <w:color w:val="000000"/>
        </w:rPr>
        <w:t>Dans ce cas, comment expliquer l'accroissement des inégalités et la place d'un tel processus dans la dynamique économique ? S'il y a des conflits de répartition, entre qui et qui, et pourquoi ?</w:t>
      </w:r>
    </w:p>
    <w:p>
      <w:pPr>
        <w:pStyle w:val="Normal"/>
        <w:jc w:val="both"/>
        <w:rPr/>
      </w:pPr>
      <w:r>
        <w:rPr>
          <w:color w:val="000000"/>
        </w:rPr>
        <w:t>Nous relevons ici ce que nous appelons un effet de la confusion sociale (Coléno, 2005</w:t>
      </w:r>
      <w:r>
        <w:rPr>
          <w:rStyle w:val="Ancredenotedebasdepage"/>
          <w:color w:val="000000"/>
        </w:rPr>
        <w:footnoteReference w:id="64"/>
      </w:r>
      <w:r>
        <w:rPr>
          <w:color w:val="000000"/>
        </w:rPr>
        <w:t>). Nous entendons par confusion sociale l'impossibilité pour les membres de la forme sociale capitaliste, impossibilité produite par le régime intellectuel qui s'impose à un moment donné, de percevoir le découpage de la collectivité en classes sociales, hiérarchisées et opposées. Les individus  sont donnés comme acteurs, mais pour autant ces acteurs ne peuvent agir en fonction de ce qu'ils ne voient pas (Solans, 2008</w:t>
      </w:r>
      <w:r>
        <w:rPr>
          <w:rStyle w:val="Ancredenotedebasdepage"/>
          <w:color w:val="000000"/>
        </w:rPr>
        <w:footnoteReference w:id="65"/>
      </w:r>
      <w:r>
        <w:rPr>
          <w:color w:val="000000"/>
        </w:rPr>
        <w:t>). En particulier, pas de classes</w:t>
      </w:r>
      <w:r>
        <w:rPr>
          <w:rStyle w:val="Ancredenotedebasdepage"/>
          <w:color w:val="000000"/>
        </w:rPr>
        <w:footnoteReference w:id="66"/>
      </w:r>
      <w:r>
        <w:rPr>
          <w:color w:val="000000"/>
        </w:rPr>
        <w:t>, mais pas non plus de capital en tant que rapport social d'exploitation. Il ne peut donc y avoir de référence, dans un manuel qui pourtant à propos des thèses classiques parle du « </w:t>
      </w:r>
      <w:r>
        <w:rPr>
          <w:i/>
          <w:iCs/>
          <w:color w:val="000000"/>
        </w:rPr>
        <w:t>mode de répartition entre les classes sociales</w:t>
      </w:r>
      <w:r>
        <w:rPr>
          <w:color w:val="000000"/>
        </w:rPr>
        <w:t> », comme nous l'avons vu, à l'analyse marxiste de la crise actuelle</w:t>
      </w:r>
      <w:r>
        <w:rPr>
          <w:rStyle w:val="Ancredenotedebasdepage"/>
          <w:color w:val="000000"/>
        </w:rPr>
        <w:footnoteReference w:id="67"/>
      </w:r>
      <w:r>
        <w:rPr>
          <w:color w:val="000000"/>
        </w:rPr>
        <w:t>.</w:t>
      </w:r>
    </w:p>
    <w:p>
      <w:pPr>
        <w:pStyle w:val="Normal"/>
        <w:jc w:val="both"/>
        <w:rPr/>
      </w:pPr>
      <w:r>
        <w:rPr>
          <w:color w:val="000000"/>
        </w:rPr>
        <w:t>Le lexique d'aujourd'hui rend aussi inconcevable la subordination du salarié</w:t>
      </w:r>
      <w:r>
        <w:rPr>
          <w:rStyle w:val="Ancredenotedebasdepage"/>
          <w:color w:val="000000"/>
        </w:rPr>
        <w:footnoteReference w:id="68"/>
      </w:r>
      <w:r>
        <w:rPr>
          <w:color w:val="000000"/>
        </w:rPr>
        <w:t xml:space="preserve"> qui caractérise ce rapport social, car elle ne peut se penser ni dans les termes du registre de l'égalité, encore à l'œuvre même à un rang secondaire, ni a fortiori dans ceux du registre de la liberté. Cela rend très difficile toute référence en SES au « </w:t>
      </w:r>
      <w:r>
        <w:rPr>
          <w:i/>
          <w:iCs/>
          <w:color w:val="000000"/>
        </w:rPr>
        <w:t>rapport salarial</w:t>
      </w:r>
      <w:r>
        <w:rPr>
          <w:color w:val="000000"/>
        </w:rPr>
        <w:t> » tel que le conçoivent les économistes régulationnistes. Du même coup, la prétention du modèle explicatif standard à s'appliquer à n'importe quelle crise semble aller de soi, au point que la crise née dans les années soixante-dix, qui a conduit à inscrire l'étude des crises économiques dans les programmes des deux décennies suivantes</w:t>
      </w:r>
      <w:r>
        <w:rPr>
          <w:rStyle w:val="Ancredenotedebasdepage"/>
          <w:color w:val="000000"/>
        </w:rPr>
        <w:footnoteReference w:id="69"/>
      </w:r>
      <w:r>
        <w:rPr>
          <w:color w:val="000000"/>
        </w:rPr>
        <w:t>, n'est plus présentée comme « </w:t>
      </w:r>
      <w:r>
        <w:rPr>
          <w:i/>
          <w:iCs/>
          <w:color w:val="000000"/>
        </w:rPr>
        <w:t>crise du fordisme</w:t>
      </w:r>
      <w:r>
        <w:rPr>
          <w:color w:val="000000"/>
        </w:rPr>
        <w:t> », en termes régulationnistes</w:t>
      </w:r>
      <w:r>
        <w:rPr>
          <w:rStyle w:val="Ancredenotedebasdepage"/>
          <w:color w:val="000000"/>
        </w:rPr>
        <w:footnoteReference w:id="70"/>
      </w:r>
      <w:r>
        <w:rPr>
          <w:color w:val="000000"/>
        </w:rPr>
        <w:t>.</w:t>
      </w:r>
    </w:p>
    <w:p>
      <w:pPr>
        <w:pStyle w:val="Normal"/>
        <w:jc w:val="both"/>
        <w:rPr>
          <w:color w:val="000000"/>
        </w:rPr>
      </w:pPr>
      <w:r>
        <w:rPr>
          <w:color w:val="000000"/>
        </w:rPr>
        <w:t>Si la trajectoire du capitalisme a conduit en France une part des enseignants de SES – et des équipes éditoriales de manuels – à tenter de rendre compte de la place de l'accroissement des inégalités de richesse et de celle des comportements financiers dans leur présentation de la crise actuelle, ces écarts vis-à-vis de la présentation standard restent limités. Si apparaissent des références à Keynes et à Schumpeter – voire Minsky et Aglietta –, c'est en des termes compatibles avec le lexique contemporain, et cela exclut le recours à certains concepts, relégués dans l'inconcevable, sans la moindre justification dans le champ des théories économiques.</w:t>
      </w:r>
    </w:p>
    <w:p>
      <w:pPr>
        <w:pStyle w:val="Normal"/>
        <w:jc w:val="both"/>
        <w:rPr>
          <w:color w:val="000000"/>
        </w:rPr>
      </w:pPr>
      <w:r>
        <w:rPr>
          <w:color w:val="000000"/>
        </w:rPr>
      </w:r>
    </w:p>
    <w:p>
      <w:pPr>
        <w:pStyle w:val="Normal"/>
        <w:jc w:val="both"/>
        <w:rPr>
          <w:b/>
          <w:b/>
          <w:color w:val="000000"/>
        </w:rPr>
      </w:pPr>
      <w:r>
        <w:rPr>
          <w:b/>
          <w:color w:val="000000"/>
        </w:rPr>
        <w:t>Conclusion</w:t>
      </w:r>
    </w:p>
    <w:p>
      <w:pPr>
        <w:pStyle w:val="Normal"/>
        <w:jc w:val="both"/>
        <w:rPr>
          <w:color w:val="000000"/>
        </w:rPr>
      </w:pPr>
      <w:r>
        <w:rPr>
          <w:color w:val="000000"/>
        </w:rPr>
      </w:r>
    </w:p>
    <w:p>
      <w:pPr>
        <w:pStyle w:val="Normal"/>
        <w:jc w:val="both"/>
        <w:rPr>
          <w:color w:val="000000"/>
        </w:rPr>
      </w:pPr>
      <w:r>
        <w:rPr>
          <w:color w:val="000000"/>
        </w:rPr>
        <w:t>Nous pourrions nous en tenir là. L'examen des programmes et de divers supports d'enseignement, le plus souvent confirmé par notre enquête, conduit à souligner l'hégémonie du discours standard sur la crise actuelle. Et même si l'état des connaissances théoriques ne justifie aucunement cette hégémonie, notre analyse amène à l'expliquer par la force du régime intellectuel qui domine aujourd'hui en France, imposant son lexique.</w:t>
      </w:r>
    </w:p>
    <w:p>
      <w:pPr>
        <w:pStyle w:val="Normal"/>
        <w:jc w:val="both"/>
        <w:rPr>
          <w:color w:val="000000"/>
        </w:rPr>
      </w:pPr>
      <w:r>
        <w:rPr>
          <w:color w:val="000000"/>
        </w:rPr>
        <w:t>Dans ces conditions, nous pouvons douter de la capacité de l'enseignement de SES à « </w:t>
      </w:r>
      <w:r>
        <w:rPr>
          <w:i/>
          <w:iCs/>
          <w:color w:val="000000"/>
        </w:rPr>
        <w:t xml:space="preserve">contribuer à </w:t>
      </w:r>
      <w:r>
        <w:rPr>
          <w:color w:val="000000"/>
        </w:rPr>
        <w:t>[la]</w:t>
      </w:r>
      <w:r>
        <w:rPr>
          <w:i/>
          <w:iCs/>
          <w:color w:val="000000"/>
        </w:rPr>
        <w:t xml:space="preserve"> formation citoyenne </w:t>
      </w:r>
      <w:r>
        <w:rPr>
          <w:color w:val="000000"/>
        </w:rPr>
        <w:t>[des élèves]</w:t>
      </w:r>
      <w:r>
        <w:rPr>
          <w:i/>
          <w:iCs/>
          <w:color w:val="000000"/>
        </w:rPr>
        <w:t xml:space="preserve"> grâce à la maîtrise de connaissances qui favorise la participation au débat public sur les grands enjeux économiques, sociaux et politiques. </w:t>
      </w:r>
      <w:r>
        <w:rPr>
          <w:color w:val="000000"/>
        </w:rPr>
        <w:t> », selon les termes du préambule du programme du cycle terminal des lycées. Les connaissances proposées paraissent bien loin de l'objectif de comprendre les grands enjeux en question, et en même temps se pose la question de la place aujourd'hui dévolue au débat public.</w:t>
      </w:r>
    </w:p>
    <w:p>
      <w:pPr>
        <w:pStyle w:val="Normal"/>
        <w:jc w:val="both"/>
        <w:rPr/>
      </w:pPr>
      <w:r>
        <w:rPr>
          <w:color w:val="000000"/>
        </w:rPr>
        <w:t>Reste qu'il n'y a pas de fin de l'histoire, et la dialectique des rapports sociaux poursuit son œuvre au long de la trajectoire du capitalisme. Selon notre démarche, il convient pour envisager les avenirs possibles, de rappeler que si la dynamique culturelle agit sur le choix des contenus de SES, ceux-ci agissent en retour, via la « </w:t>
      </w:r>
      <w:r>
        <w:rPr>
          <w:i/>
          <w:iCs/>
          <w:color w:val="000000"/>
        </w:rPr>
        <w:t>culture économique</w:t>
      </w:r>
      <w:r>
        <w:rPr>
          <w:color w:val="000000"/>
        </w:rPr>
        <w:t> » qu'ils sont censés nourrir.</w:t>
      </w:r>
      <w:r>
        <w:rPr>
          <w:color w:val="0000FF"/>
        </w:rPr>
        <w:t xml:space="preserve"> </w:t>
      </w:r>
      <w:r>
        <w:rPr>
          <w:color w:val="000000"/>
        </w:rPr>
        <w:t>La reproduction du capitalisme à l'identique n'est pas le seul avenir concevable, car sa dynamique s'articule avec celle de la livraison de travail, notamment, avec ses conflits et ses contradictions, déjà à l'</w:t>
      </w:r>
      <w:r>
        <w:rPr>
          <w:rFonts w:cs="Times New Roman"/>
          <w:color w:val="000000"/>
        </w:rPr>
        <w:t>œ</w:t>
      </w:r>
      <w:r>
        <w:rPr>
          <w:color w:val="000000"/>
        </w:rPr>
        <w:t>uvre dans l'apparition de textes concurrents. Il faudra intégrer le jeu de la mémoire collective</w:t>
      </w:r>
      <w:r>
        <w:rPr>
          <w:rStyle w:val="Ancredenotedebasdepage"/>
          <w:color w:val="000000"/>
        </w:rPr>
        <w:footnoteReference w:id="71"/>
      </w:r>
      <w:r>
        <w:rPr>
          <w:color w:val="000000"/>
        </w:rPr>
        <w:t>, telle qu'elle semble se manifester dans les propos et réponses obtenues dans notre enquête</w:t>
      </w:r>
      <w:r>
        <w:rPr>
          <w:rStyle w:val="Ancredenotedebasdepage"/>
          <w:color w:val="000000"/>
        </w:rPr>
        <w:footnoteReference w:id="72"/>
      </w:r>
      <w:r>
        <w:rPr>
          <w:color w:val="000000"/>
        </w:rPr>
        <w:t>, car elle peut favoriser le renouvellement de schémas théoriques autrefois audibles, dont les bases ont gardé leur pertinence, à la faveur de la poursuite de la crise actuelle.</w:t>
      </w:r>
    </w:p>
    <w:p>
      <w:pPr>
        <w:pStyle w:val="Normal"/>
        <w:jc w:val="both"/>
        <w:rPr/>
      </w:pPr>
      <w:r>
        <w:rPr>
          <w:color w:val="000000"/>
        </w:rPr>
        <w:t>Celle-ci peut-elle ainsi favoriser l'émergence de discours alternatifs, aux références issues de modèles « </w:t>
      </w:r>
      <w:r>
        <w:rPr>
          <w:i/>
          <w:iCs/>
          <w:color w:val="000000"/>
        </w:rPr>
        <w:t>hétérodoxes</w:t>
      </w:r>
      <w:r>
        <w:rPr>
          <w:color w:val="000000"/>
        </w:rPr>
        <w:t> » ? Le risque à ne pas négliger est celui du surgissement, d'un autre côté, d'une vulgate compatible avec ce que nous pouvons appeler un discours de revanche populiste, s'appuyant au contraire sur la stigmatisation de la finance comme source principale de la crise, faute d'avoir expliqué que ladite finance a aujourd'hui la place que lui a donnée la dynamique même du capitalisme</w:t>
      </w:r>
      <w:r>
        <w:rPr>
          <w:rStyle w:val="Ancredenotedebasdepage"/>
          <w:color w:val="000000"/>
        </w:rPr>
        <w:footnoteReference w:id="73"/>
      </w:r>
      <w:r>
        <w:rPr>
          <w:color w:val="000000"/>
        </w:rPr>
        <w:t>. L'histoire est ouverte, la crise actuelle reste ce moment dont Antonio Gramsci disait :</w:t>
      </w:r>
    </w:p>
    <w:p>
      <w:pPr>
        <w:pStyle w:val="Normal"/>
        <w:jc w:val="both"/>
        <w:rPr>
          <w:color w:val="000000"/>
        </w:rPr>
      </w:pPr>
      <w:r>
        <w:rPr>
          <w:color w:val="000000"/>
        </w:rPr>
        <w:t>« </w:t>
      </w:r>
      <w:r>
        <w:rPr>
          <w:i/>
          <w:iCs/>
          <w:color w:val="000000"/>
        </w:rPr>
        <w:t>La crise consiste justement dans le fait que l'ancien meurt et que le nouveau ne peut pas naître : pendant cet interrègne on observe les phénomènes morbides les plus variés</w:t>
      </w:r>
      <w:r>
        <w:rPr>
          <w:color w:val="000000"/>
        </w:rPr>
        <w:t> ».</w:t>
      </w:r>
    </w:p>
    <w:p>
      <w:pPr>
        <w:pStyle w:val="Normal"/>
        <w:jc w:val="both"/>
        <w:rPr>
          <w:color w:val="000000"/>
        </w:rPr>
      </w:pPr>
      <w:r>
        <w:rPr>
          <w:color w:val="000000"/>
        </w:rPr>
      </w:r>
    </w:p>
    <w:p>
      <w:pPr>
        <w:pStyle w:val="Normal"/>
        <w:jc w:val="both"/>
        <w:rPr>
          <w:b/>
          <w:b/>
          <w:bCs/>
          <w:color w:val="0000FF"/>
          <w:sz w:val="26"/>
          <w:szCs w:val="26"/>
        </w:rPr>
      </w:pPr>
      <w:r>
        <w:rPr>
          <w:b/>
          <w:bCs/>
          <w:color w:val="000000"/>
          <w:sz w:val="26"/>
          <w:szCs w:val="26"/>
        </w:rPr>
        <w:t>Lexique :</w:t>
      </w:r>
    </w:p>
    <w:p>
      <w:pPr>
        <w:pStyle w:val="Normal"/>
        <w:jc w:val="both"/>
        <w:rPr>
          <w:color w:val="000000"/>
        </w:rPr>
      </w:pPr>
      <w:r>
        <w:rPr>
          <w:color w:val="000000"/>
        </w:rPr>
      </w:r>
    </w:p>
    <w:p>
      <w:pPr>
        <w:pStyle w:val="Normal"/>
        <w:jc w:val="both"/>
        <w:rPr>
          <w:color w:val="0000FF"/>
        </w:rPr>
      </w:pPr>
      <w:r>
        <w:rPr>
          <w:b/>
          <w:bCs/>
          <w:color w:val="000000"/>
        </w:rPr>
        <w:t>Axiologique</w:t>
      </w:r>
      <w:r>
        <w:rPr>
          <w:color w:val="000000"/>
        </w:rPr>
        <w:t> :</w:t>
      </w:r>
    </w:p>
    <w:p>
      <w:pPr>
        <w:pStyle w:val="Normal"/>
        <w:jc w:val="both"/>
        <w:rPr>
          <w:color w:val="0000FF"/>
        </w:rPr>
      </w:pPr>
      <w:r>
        <w:rPr>
          <w:color w:val="000000"/>
        </w:rPr>
        <w:t>Tout ce qui concerne le système de valeurs.</w:t>
      </w:r>
    </w:p>
    <w:p>
      <w:pPr>
        <w:pStyle w:val="Normal"/>
        <w:jc w:val="both"/>
        <w:rPr>
          <w:color w:val="0000FF"/>
        </w:rPr>
      </w:pPr>
      <w:r>
        <w:rPr>
          <w:b/>
          <w:bCs/>
          <w:color w:val="000000"/>
        </w:rPr>
        <w:t>Confort</w:t>
      </w:r>
      <w:r>
        <w:rPr>
          <w:color w:val="000000"/>
        </w:rPr>
        <w:t> :</w:t>
      </w:r>
    </w:p>
    <w:p>
      <w:pPr>
        <w:pStyle w:val="Normal"/>
        <w:jc w:val="both"/>
        <w:rPr>
          <w:color w:val="0000FF"/>
        </w:rPr>
      </w:pPr>
      <w:r>
        <w:rPr>
          <w:color w:val="000000"/>
        </w:rPr>
        <w:t>Le confort est la valeur centrale du capitalisme. À tel point qu’il serait impensable qu’il en fût autrement. Il en a pourtant été autrement, avant le capitalisme, comme l’a remarqué Tocqueville dans son « </w:t>
      </w:r>
      <w:r>
        <w:rPr>
          <w:i/>
          <w:iCs/>
          <w:color w:val="000000"/>
        </w:rPr>
        <w:t>De la démocratie en Amérique</w:t>
      </w:r>
      <w:r>
        <w:rPr>
          <w:color w:val="000000"/>
        </w:rPr>
        <w:t> » en 1835 : jusqu’alors la gloire était la valeur central dans les sociétés occidentales, par exemple.</w:t>
      </w:r>
    </w:p>
    <w:p>
      <w:pPr>
        <w:pStyle w:val="Normal"/>
        <w:jc w:val="both"/>
        <w:rPr>
          <w:color w:val="0000FF"/>
        </w:rPr>
      </w:pPr>
      <w:r>
        <w:rPr>
          <w:color w:val="000000"/>
        </w:rPr>
        <w:t xml:space="preserve">Voir notre précédent article, page 7 :  </w:t>
      </w:r>
      <w:r>
        <w:rPr>
          <w:color w:val="000000"/>
          <w:lang w:val="en-GB"/>
        </w:rPr>
        <w:t>http://www.jsse.org/index.php/jsse/article/view/1397/1547</w:t>
      </w:r>
    </w:p>
    <w:p>
      <w:pPr>
        <w:pStyle w:val="Normal"/>
        <w:jc w:val="both"/>
        <w:rPr>
          <w:color w:val="0000FF"/>
        </w:rPr>
      </w:pPr>
      <w:r>
        <w:rPr>
          <w:b/>
          <w:bCs/>
          <w:color w:val="000000"/>
        </w:rPr>
        <w:t>Lexique du confort</w:t>
      </w:r>
      <w:r>
        <w:rPr>
          <w:color w:val="000000"/>
        </w:rPr>
        <w:t> :</w:t>
      </w:r>
    </w:p>
    <w:p>
      <w:pPr>
        <w:pStyle w:val="Normal"/>
        <w:jc w:val="both"/>
        <w:rPr>
          <w:color w:val="0000FF"/>
        </w:rPr>
      </w:pPr>
      <w:r>
        <w:rPr>
          <w:color w:val="000000"/>
        </w:rPr>
        <w:t>La valeur centrale dit à chaque être humain, dans une société capitaliste, ce qui vaut d’être vécu, et nous appelons lexique un ensemble particulier de mots qui l’exprime. Ce lexique est constitué de registres, en particulier le registre de la liberté et le registre de l’égalité. Liberté et égalité sont en effet deux autres valeurs consubstantielles au capitalisme et au confort, d’une telle façon que nous apprenons comment agir en suivant les mots qui nous disent comment être libre – ce sont les mots qui composent le registre de la liberté – et comment respecter les autres – les mots qui composent le registre de l’égalité.</w:t>
      </w:r>
    </w:p>
    <w:p>
      <w:pPr>
        <w:pStyle w:val="Normal"/>
        <w:jc w:val="both"/>
        <w:rPr>
          <w:color w:val="0000FF"/>
        </w:rPr>
      </w:pPr>
      <w:r>
        <w:rPr>
          <w:b/>
          <w:bCs/>
          <w:color w:val="000000"/>
        </w:rPr>
        <w:t>Théorie de l’exploitation de Marx</w:t>
      </w:r>
      <w:r>
        <w:rPr>
          <w:color w:val="000000"/>
        </w:rPr>
        <w:t> :</w:t>
      </w:r>
    </w:p>
    <w:p>
      <w:pPr>
        <w:pStyle w:val="Normal"/>
        <w:jc w:val="both"/>
        <w:rPr>
          <w:color w:val="0000FF"/>
        </w:rPr>
      </w:pPr>
      <w:r>
        <w:rPr>
          <w:color w:val="000000"/>
        </w:rPr>
        <w:t>Selon la théorie de la valeur-travail, seul le travail crée la valeur. Distinguant entre le temps travaillé et la puissance du travail, Marx voit la source de la plus-value dans le travail gratuit que le prolétaire livre au capitaliste, et la livraison de travail gratuit s’appelle l’exploitation.</w:t>
      </w:r>
    </w:p>
    <w:p>
      <w:pPr>
        <w:pStyle w:val="Normal"/>
        <w:rPr>
          <w:color w:val="0000FF"/>
          <w:sz w:val="24"/>
          <w:szCs w:val="24"/>
        </w:rPr>
      </w:pPr>
      <w:r>
        <w:rPr>
          <w:color w:val="000000"/>
          <w:sz w:val="24"/>
          <w:szCs w:val="24"/>
        </w:rPr>
        <w:t>Celle-ci n’apparaît cependant pas aux yeux du prolétaire : ce n’est pas que tout son temps ne lui est pas payé, c’est que le capitaliste peut imposer un prix au produit - sa recette - supérieur au salaire perçu. Le capitaliste achètera avec les sommes monétaires qui lui reviennent la production qui reste, cela constitue la plus-value.</w:t>
      </w:r>
    </w:p>
    <w:p>
      <w:pPr>
        <w:pStyle w:val="Normal"/>
        <w:jc w:val="both"/>
        <w:rPr>
          <w:color w:val="000000"/>
        </w:rPr>
      </w:pPr>
      <w:r>
        <w:rPr>
          <w:color w:val="000000"/>
          <w:sz w:val="24"/>
          <w:szCs w:val="24"/>
        </w:rPr>
        <w:t>L’exploitation est consubstantielle au capitalisme</w:t>
      </w:r>
      <w:r>
        <w:rPr>
          <w:rStyle w:val="Ancredenotedebasdepage"/>
          <w:color w:val="000000"/>
          <w:sz w:val="24"/>
          <w:szCs w:val="24"/>
        </w:rPr>
        <w:footnoteReference w:id="74"/>
      </w:r>
      <w:r>
        <w:rPr>
          <w:color w:val="000000"/>
          <w:sz w:val="24"/>
          <w:szCs w:val="24"/>
        </w:rPr>
        <w:t>. Elle ne résulte pas d’une rareté artificielle mais de l’existence de la marchandise : le capitaliste a le pouvoir de décider de la valeur monétaire des marchandises, par son droit à commander les mouvements du capital.</w:t>
      </w:r>
    </w:p>
    <w:p>
      <w:pPr>
        <w:pStyle w:val="Normal"/>
        <w:jc w:val="both"/>
        <w:rPr>
          <w:color w:val="0000FF"/>
          <w:sz w:val="24"/>
          <w:szCs w:val="24"/>
        </w:rPr>
      </w:pPr>
      <w:r>
        <w:rPr>
          <w:b/>
          <w:bCs/>
          <w:color w:val="000000"/>
          <w:sz w:val="24"/>
          <w:szCs w:val="24"/>
        </w:rPr>
        <w:t>Didactisation</w:t>
      </w:r>
      <w:r>
        <w:rPr>
          <w:color w:val="000000"/>
          <w:sz w:val="24"/>
          <w:szCs w:val="24"/>
        </w:rPr>
        <w:t> :</w:t>
      </w:r>
    </w:p>
    <w:p>
      <w:pPr>
        <w:pStyle w:val="Normal"/>
        <w:jc w:val="both"/>
        <w:rPr>
          <w:color w:val="0000FF"/>
          <w:sz w:val="24"/>
          <w:szCs w:val="24"/>
        </w:rPr>
      </w:pPr>
      <w:r>
        <w:rPr>
          <w:color w:val="000000"/>
          <w:sz w:val="24"/>
          <w:szCs w:val="24"/>
        </w:rPr>
        <w:t xml:space="preserve">Cela se réfère aux façons de rendre le savoir, en particulier savant, enseignable. </w:t>
      </w:r>
    </w:p>
    <w:p>
      <w:pPr>
        <w:pStyle w:val="Normal"/>
        <w:jc w:val="both"/>
        <w:rPr>
          <w:color w:val="000000"/>
          <w:sz w:val="24"/>
          <w:szCs w:val="24"/>
        </w:rPr>
      </w:pPr>
      <w:r>
        <w:rPr>
          <w:color w:val="000000"/>
          <w:sz w:val="24"/>
          <w:szCs w:val="24"/>
        </w:rPr>
      </w:r>
    </w:p>
    <w:p>
      <w:pPr>
        <w:pStyle w:val="Normal"/>
        <w:jc w:val="both"/>
        <w:rPr/>
      </w:pPr>
      <w:r>
        <w:rPr>
          <w:b/>
          <w:bCs/>
          <w:sz w:val="26"/>
          <w:szCs w:val="26"/>
        </w:rPr>
        <w:t>Bibliographie</w:t>
      </w:r>
      <w:r>
        <w:rPr/>
        <w:t> :</w:t>
      </w:r>
    </w:p>
    <w:p>
      <w:pPr>
        <w:pStyle w:val="Normal"/>
        <w:jc w:val="both"/>
        <w:rPr/>
      </w:pPr>
      <w:r>
        <w:rPr/>
      </w:r>
    </w:p>
    <w:p>
      <w:pPr>
        <w:pStyle w:val="Normal"/>
        <w:jc w:val="both"/>
        <w:rPr>
          <w:b/>
          <w:b/>
          <w:bCs/>
        </w:rPr>
      </w:pPr>
      <w:r>
        <w:rPr>
          <w:b/>
          <w:bCs/>
        </w:rPr>
        <w:t>1) Manuels scolaires</w:t>
      </w:r>
    </w:p>
    <w:p>
      <w:pPr>
        <w:pStyle w:val="Normal"/>
        <w:jc w:val="both"/>
        <w:rPr/>
      </w:pPr>
      <w:r>
        <w:rPr/>
      </w:r>
    </w:p>
    <w:p>
      <w:pPr>
        <w:pStyle w:val="Normal"/>
        <w:jc w:val="both"/>
        <w:rPr/>
      </w:pPr>
      <w:r>
        <w:rPr/>
        <w:t xml:space="preserve">Albertini, J.-M., et al. (1983) </w:t>
      </w:r>
      <w:r>
        <w:rPr>
          <w:i/>
          <w:iCs/>
        </w:rPr>
        <w:t>Économie et société françaises</w:t>
      </w:r>
      <w:r>
        <w:rPr/>
        <w:t xml:space="preserve"> (Paris, Scodel, collection Callet).</w:t>
      </w:r>
    </w:p>
    <w:p>
      <w:pPr>
        <w:pStyle w:val="Normal"/>
        <w:jc w:val="both"/>
        <w:rPr/>
      </w:pPr>
      <w:r>
        <w:rPr/>
        <w:t xml:space="preserve">Anselm, D. (dir.) (2012) </w:t>
      </w:r>
      <w:r>
        <w:rPr>
          <w:i/>
          <w:iCs/>
        </w:rPr>
        <w:t>Sciences Économiques et Sociales</w:t>
      </w:r>
      <w:r>
        <w:rPr/>
        <w:t>, classe terminale (Paris, Hatier).</w:t>
      </w:r>
    </w:p>
    <w:p>
      <w:pPr>
        <w:pStyle w:val="Normal"/>
        <w:jc w:val="both"/>
        <w:rPr/>
      </w:pPr>
      <w:r>
        <w:rPr/>
        <w:t xml:space="preserve">Échaudemaison, C.-D. (dir.) (2012) </w:t>
      </w:r>
      <w:r>
        <w:rPr>
          <w:i/>
          <w:iCs/>
        </w:rPr>
        <w:t>Sciences Économiques et Sociales</w:t>
      </w:r>
      <w:r>
        <w:rPr/>
        <w:t>, classe terminale (Paris, Nathan).</w:t>
      </w:r>
    </w:p>
    <w:p>
      <w:pPr>
        <w:pStyle w:val="Normal"/>
        <w:jc w:val="both"/>
        <w:rPr/>
      </w:pPr>
      <w:r>
        <w:rPr/>
        <w:t xml:space="preserve">Fraisse-D'Olimpio, S. (dir.) </w:t>
      </w:r>
      <w:r>
        <w:rPr>
          <w:i/>
          <w:iCs/>
        </w:rPr>
        <w:t>Sciences Économiques et Sociales</w:t>
      </w:r>
      <w:r>
        <w:rPr/>
        <w:t>, classe terminale (2012)  (Paris, Belin).</w:t>
      </w:r>
    </w:p>
    <w:p>
      <w:pPr>
        <w:pStyle w:val="Normal"/>
        <w:jc w:val="both"/>
        <w:rPr/>
      </w:pPr>
      <w:r>
        <w:rPr/>
        <w:t xml:space="preserve">Lebel, J.-P., et Richet, A. (2012) </w:t>
      </w:r>
      <w:r>
        <w:rPr>
          <w:i/>
          <w:iCs/>
        </w:rPr>
        <w:t>Sciences Économiques et Sociales</w:t>
      </w:r>
      <w:r>
        <w:rPr/>
        <w:t>, classe terminale (Paris, Hachette).</w:t>
      </w:r>
    </w:p>
    <w:p>
      <w:pPr>
        <w:pStyle w:val="Normal"/>
        <w:jc w:val="both"/>
        <w:rPr/>
      </w:pPr>
      <w:r>
        <w:rPr/>
        <w:t xml:space="preserve">Passard, C., et Perl, P.-O. (dir.) (2012) </w:t>
      </w:r>
      <w:r>
        <w:rPr>
          <w:i/>
          <w:iCs/>
        </w:rPr>
        <w:t>Sciences Économiques et Sociales</w:t>
      </w:r>
      <w:r>
        <w:rPr/>
        <w:t>, classe terminale (Paris, Bordas).</w:t>
      </w:r>
    </w:p>
    <w:p>
      <w:pPr>
        <w:pStyle w:val="Normal"/>
        <w:jc w:val="both"/>
        <w:rPr/>
      </w:pPr>
      <w:r>
        <w:rPr/>
        <w:t xml:space="preserve">Waquet, I. (dir.) (2015) </w:t>
      </w:r>
      <w:r>
        <w:rPr>
          <w:i/>
          <w:iCs/>
        </w:rPr>
        <w:t>Sciences Économiques et Sociales</w:t>
      </w:r>
      <w:r>
        <w:rPr/>
        <w:t>, classe terminale (Paris, Magnard).</w:t>
      </w:r>
    </w:p>
    <w:p>
      <w:pPr>
        <w:pStyle w:val="Normal"/>
        <w:jc w:val="both"/>
        <w:rPr/>
      </w:pPr>
      <w:r>
        <w:rPr/>
      </w:r>
    </w:p>
    <w:p>
      <w:pPr>
        <w:pStyle w:val="Normal"/>
        <w:jc w:val="both"/>
        <w:rPr>
          <w:b/>
          <w:b/>
          <w:bCs/>
        </w:rPr>
      </w:pPr>
      <w:r>
        <w:rPr>
          <w:b/>
          <w:bCs/>
        </w:rPr>
        <w:t>2) Fiches-ressources en ligne</w:t>
      </w:r>
    </w:p>
    <w:p>
      <w:pPr>
        <w:pStyle w:val="Normal"/>
        <w:jc w:val="both"/>
        <w:rPr/>
      </w:pPr>
      <w:r>
        <w:rPr/>
        <w:t xml:space="preserve">Éduscol (2013) « Comment expliquer l'instabilité de la croissance ? » (Paris, Ministère de l'Éducation Nationale).  </w:t>
        <w:tab/>
        <w:t xml:space="preserve"> http://cache.media.eduscol.education.fr/file/SES_terminale_allegements/33/0/1.2_instabilite_de_la_croiss_-_cor_264330.pdf</w:t>
      </w:r>
    </w:p>
    <w:p>
      <w:pPr>
        <w:pStyle w:val="Notedebasdepage"/>
        <w:jc w:val="both"/>
        <w:rPr>
          <w:sz w:val="24"/>
          <w:szCs w:val="24"/>
        </w:rPr>
      </w:pPr>
      <w:r>
        <w:rPr>
          <w:sz w:val="24"/>
          <w:szCs w:val="24"/>
        </w:rPr>
        <w:t xml:space="preserve">Braquet, L. (2012) « Comment expliquer l'instabilité de la croissance ? » Melchior. </w:t>
      </w:r>
    </w:p>
    <w:p>
      <w:pPr>
        <w:pStyle w:val="Notedebasdepage"/>
        <w:jc w:val="both"/>
        <w:rPr>
          <w:sz w:val="24"/>
          <w:szCs w:val="24"/>
        </w:rPr>
      </w:pPr>
      <w:r>
        <w:rPr>
          <w:sz w:val="24"/>
          <w:szCs w:val="24"/>
        </w:rPr>
        <w:t>http://www.melchior.fr/Etape-decouverte.11601.0.html</w:t>
      </w:r>
    </w:p>
    <w:p>
      <w:pPr>
        <w:pStyle w:val="Notedebasdepage"/>
        <w:jc w:val="both"/>
        <w:rPr>
          <w:sz w:val="24"/>
          <w:szCs w:val="24"/>
        </w:rPr>
      </w:pPr>
      <w:r>
        <w:rPr>
          <w:sz w:val="24"/>
          <w:szCs w:val="24"/>
        </w:rPr>
      </w:r>
    </w:p>
    <w:p>
      <w:pPr>
        <w:pStyle w:val="Notedebasdepage"/>
        <w:jc w:val="both"/>
        <w:rPr>
          <w:b/>
          <w:b/>
          <w:bCs/>
          <w:sz w:val="24"/>
          <w:szCs w:val="24"/>
        </w:rPr>
      </w:pPr>
      <w:r>
        <w:rPr>
          <w:b/>
          <w:bCs/>
          <w:sz w:val="24"/>
          <w:szCs w:val="24"/>
        </w:rPr>
        <w:t>3) Livres et articles de revue</w:t>
      </w:r>
    </w:p>
    <w:p>
      <w:pPr>
        <w:pStyle w:val="Notedebasdepage"/>
        <w:jc w:val="both"/>
        <w:rPr>
          <w:sz w:val="24"/>
          <w:szCs w:val="24"/>
        </w:rPr>
      </w:pPr>
      <w:r>
        <w:rPr>
          <w:sz w:val="24"/>
          <w:szCs w:val="24"/>
        </w:rPr>
      </w:r>
    </w:p>
    <w:p>
      <w:pPr>
        <w:pStyle w:val="Notedebasdepage"/>
        <w:ind w:left="0" w:right="0" w:hanging="0"/>
        <w:jc w:val="both"/>
        <w:rPr>
          <w:sz w:val="24"/>
          <w:szCs w:val="24"/>
        </w:rPr>
      </w:pPr>
      <w:r>
        <w:rPr>
          <w:sz w:val="24"/>
          <w:szCs w:val="24"/>
        </w:rPr>
        <w:t xml:space="preserve">Aglietta, M. (1997) </w:t>
      </w:r>
      <w:r>
        <w:rPr>
          <w:i/>
          <w:iCs/>
          <w:sz w:val="24"/>
          <w:szCs w:val="24"/>
        </w:rPr>
        <w:t>Régulation et crises du capitalisme.</w:t>
      </w:r>
      <w:r>
        <w:rPr>
          <w:sz w:val="24"/>
          <w:szCs w:val="24"/>
        </w:rPr>
        <w:t xml:space="preserve"> (Paris, Odile Jacob).</w:t>
      </w:r>
    </w:p>
    <w:p>
      <w:pPr>
        <w:pStyle w:val="Notedebasdepage"/>
        <w:ind w:left="0" w:right="0" w:hanging="0"/>
        <w:jc w:val="both"/>
        <w:rPr>
          <w:sz w:val="24"/>
          <w:szCs w:val="24"/>
        </w:rPr>
      </w:pPr>
      <w:r>
        <w:rPr>
          <w:sz w:val="24"/>
          <w:szCs w:val="24"/>
        </w:rPr>
        <w:t xml:space="preserve">Aglietta, M., et Lipietz, A. (2009) « À la recherche d'un modèle de croissance », </w:t>
      </w:r>
      <w:r>
        <w:rPr>
          <w:i/>
          <w:iCs/>
          <w:sz w:val="24"/>
          <w:szCs w:val="24"/>
        </w:rPr>
        <w:t>Esprit</w:t>
      </w:r>
      <w:r>
        <w:rPr>
          <w:sz w:val="24"/>
          <w:szCs w:val="24"/>
        </w:rPr>
        <w:t>, vol 11.</w:t>
      </w:r>
    </w:p>
    <w:p>
      <w:pPr>
        <w:pStyle w:val="Notedebasdepage"/>
        <w:ind w:left="0" w:right="0" w:hanging="0"/>
        <w:jc w:val="both"/>
        <w:rPr>
          <w:sz w:val="24"/>
          <w:szCs w:val="24"/>
        </w:rPr>
      </w:pPr>
      <w:r>
        <w:rPr>
          <w:sz w:val="24"/>
          <w:szCs w:val="24"/>
        </w:rPr>
        <w:t xml:space="preserve">Auvray, T., Dallery, T., Rigot, S. (2015) « Comment relancer l'investissement » in </w:t>
      </w:r>
      <w:r>
        <w:rPr>
          <w:i/>
          <w:iCs/>
          <w:sz w:val="24"/>
          <w:szCs w:val="24"/>
        </w:rPr>
        <w:t>L'économie politique</w:t>
      </w:r>
      <w:r>
        <w:rPr>
          <w:sz w:val="24"/>
          <w:szCs w:val="24"/>
        </w:rPr>
        <w:t>, n°65.</w:t>
      </w:r>
    </w:p>
    <w:p>
      <w:pPr>
        <w:pStyle w:val="Normal"/>
        <w:ind w:left="900" w:right="0" w:hanging="900"/>
        <w:jc w:val="both"/>
        <w:rPr/>
      </w:pPr>
      <w:r>
        <w:rPr>
          <w:bCs/>
        </w:rPr>
        <w:t>Baudrillard J.</w:t>
      </w:r>
      <w:r>
        <w:rPr/>
        <w:t xml:space="preserve"> (1970), </w:t>
      </w:r>
      <w:r>
        <w:rPr>
          <w:i/>
        </w:rPr>
        <w:t>La société de consommation</w:t>
      </w:r>
      <w:r>
        <w:rPr/>
        <w:t>, Paris, éditions Denoël.</w:t>
      </w:r>
    </w:p>
    <w:p>
      <w:pPr>
        <w:pStyle w:val="Notedebasdepage"/>
        <w:jc w:val="both"/>
        <w:rPr>
          <w:sz w:val="24"/>
          <w:szCs w:val="24"/>
        </w:rPr>
      </w:pPr>
      <w:r>
        <w:rPr>
          <w:sz w:val="24"/>
          <w:szCs w:val="24"/>
        </w:rPr>
        <w:t xml:space="preserve">Beitone, A., et al. (2007) </w:t>
      </w:r>
      <w:r>
        <w:rPr>
          <w:i/>
          <w:iCs/>
          <w:sz w:val="24"/>
          <w:szCs w:val="24"/>
        </w:rPr>
        <w:t>Dictionnaire des sciences économiques</w:t>
      </w:r>
      <w:r>
        <w:rPr>
          <w:sz w:val="24"/>
          <w:szCs w:val="24"/>
        </w:rPr>
        <w:t>, Paris, Armand Colin.</w:t>
      </w:r>
    </w:p>
    <w:p>
      <w:pPr>
        <w:pStyle w:val="Notedebasdepage"/>
        <w:ind w:left="0" w:right="0" w:hanging="0"/>
        <w:jc w:val="both"/>
        <w:rPr>
          <w:sz w:val="24"/>
          <w:szCs w:val="24"/>
        </w:rPr>
      </w:pPr>
      <w:r>
        <w:rPr>
          <w:sz w:val="24"/>
          <w:szCs w:val="24"/>
        </w:rPr>
        <w:t>Blanchard, H., et Coléno, Y.-P. (2016) « L'économie en SES : un enseignement à la frontière de la discipline ? », communication au 6</w:t>
      </w:r>
      <w:r>
        <w:rPr>
          <w:sz w:val="24"/>
          <w:szCs w:val="24"/>
          <w:vertAlign w:val="superscript"/>
        </w:rPr>
        <w:t>ème</w:t>
      </w:r>
      <w:r>
        <w:rPr>
          <w:sz w:val="24"/>
          <w:szCs w:val="24"/>
        </w:rPr>
        <w:t xml:space="preserve"> congrès de l'</w:t>
      </w:r>
      <w:r>
        <w:rPr>
          <w:i/>
          <w:iCs/>
          <w:sz w:val="24"/>
          <w:szCs w:val="24"/>
        </w:rPr>
        <w:t>Association Française d'Économie Politique</w:t>
      </w:r>
      <w:r>
        <w:rPr>
          <w:sz w:val="24"/>
          <w:szCs w:val="24"/>
        </w:rPr>
        <w:t>, Mulhouse, France, 4 au 6 juillet 2016.</w:t>
      </w:r>
    </w:p>
    <w:p>
      <w:pPr>
        <w:pStyle w:val="Notedebasdepage"/>
        <w:ind w:left="0" w:right="0" w:hanging="0"/>
        <w:jc w:val="both"/>
        <w:rPr>
          <w:sz w:val="24"/>
          <w:szCs w:val="24"/>
        </w:rPr>
      </w:pPr>
      <w:r>
        <w:rPr>
          <w:sz w:val="24"/>
          <w:szCs w:val="24"/>
        </w:rPr>
        <w:t xml:space="preserve">Boyer, R. (2010) « L'économie en crise : le prix de l'oubli de l'économie politique », </w:t>
      </w:r>
      <w:r>
        <w:rPr>
          <w:i/>
          <w:iCs/>
          <w:sz w:val="24"/>
          <w:szCs w:val="24"/>
        </w:rPr>
        <w:t>L'économie politique</w:t>
      </w:r>
      <w:r>
        <w:rPr>
          <w:sz w:val="24"/>
          <w:szCs w:val="24"/>
        </w:rPr>
        <w:t>, n°47.</w:t>
      </w:r>
    </w:p>
    <w:p>
      <w:pPr>
        <w:pStyle w:val="DefaultText"/>
        <w:jc w:val="both"/>
        <w:rPr>
          <w:color w:val="000000"/>
        </w:rPr>
      </w:pPr>
      <w:r>
        <w:rPr>
          <w:color w:val="000000"/>
        </w:rPr>
        <w:t xml:space="preserve">Canry, N. (2005) « Régime </w:t>
      </w:r>
      <w:r>
        <w:rPr>
          <w:i/>
          <w:iCs/>
          <w:color w:val="000000"/>
        </w:rPr>
        <w:t>wage-led</w:t>
      </w:r>
      <w:r>
        <w:rPr>
          <w:color w:val="000000"/>
        </w:rPr>
        <w:t xml:space="preserve">, régime </w:t>
      </w:r>
      <w:r>
        <w:rPr>
          <w:i/>
          <w:iCs/>
          <w:color w:val="000000"/>
        </w:rPr>
        <w:t>profit-led</w:t>
      </w:r>
      <w:r>
        <w:rPr>
          <w:color w:val="000000"/>
        </w:rPr>
        <w:t xml:space="preserve"> et cycles : un modèle. », </w:t>
      </w:r>
      <w:r>
        <w:rPr>
          <w:i/>
          <w:iCs/>
          <w:color w:val="000000"/>
        </w:rPr>
        <w:t>Économie Appliquée</w:t>
      </w:r>
      <w:r>
        <w:rPr>
          <w:color w:val="000000"/>
        </w:rPr>
        <w:t xml:space="preserve">, LVIII, 143-163. </w:t>
      </w:r>
    </w:p>
    <w:p>
      <w:pPr>
        <w:pStyle w:val="DefaultText"/>
        <w:jc w:val="both"/>
        <w:rPr>
          <w:color w:val="000000"/>
        </w:rPr>
      </w:pPr>
      <w:r>
        <w:rPr>
          <w:color w:val="000000"/>
        </w:rPr>
        <w:t xml:space="preserve">Coléno Y.-P. (2005), « Sciences Économiques et Sociales et dynamique de la forme sociale en France depuis les années 1960 », in Solans, H. (dir.), </w:t>
      </w:r>
      <w:r>
        <w:rPr>
          <w:i/>
          <w:iCs/>
          <w:color w:val="000000"/>
        </w:rPr>
        <w:t>Faire société sans faire souffrir ? Les dispositifs vecteurs de cohésion sociale et leurs victimes</w:t>
      </w:r>
      <w:r>
        <w:rPr>
          <w:color w:val="000000"/>
        </w:rPr>
        <w:t>, Paris, L'Harmattan.</w:t>
      </w:r>
    </w:p>
    <w:p>
      <w:pPr>
        <w:pStyle w:val="DefaultText"/>
        <w:jc w:val="both"/>
        <w:rPr>
          <w:color w:val="000000"/>
        </w:rPr>
      </w:pPr>
      <w:r>
        <w:rPr>
          <w:color w:val="000000"/>
        </w:rPr>
        <w:t xml:space="preserve">Dévelay, M. (dir.) (1995) </w:t>
      </w:r>
      <w:r>
        <w:rPr>
          <w:i/>
          <w:iCs/>
          <w:color w:val="000000"/>
        </w:rPr>
        <w:t>Savoirs scolaires et didactique des disciplines</w:t>
      </w:r>
      <w:r>
        <w:rPr>
          <w:color w:val="000000"/>
        </w:rPr>
        <w:t>, Paris, ESF.</w:t>
      </w:r>
    </w:p>
    <w:p>
      <w:pPr>
        <w:pStyle w:val="Notedebasdepage"/>
        <w:jc w:val="both"/>
        <w:rPr/>
      </w:pPr>
      <w:r>
        <w:rPr>
          <w:sz w:val="24"/>
          <w:szCs w:val="24"/>
        </w:rPr>
        <w:t xml:space="preserve">Gaffard, J.-L. (2008) « Les inégalités responsables de la crise » in OFCE. </w:t>
      </w:r>
      <w:hyperlink r:id="rId2">
        <w:r>
          <w:rPr>
            <w:rStyle w:val="LienInternet"/>
            <w:color w:val="000000"/>
            <w:sz w:val="24"/>
            <w:szCs w:val="24"/>
            <w:u w:val="none"/>
          </w:rPr>
          <w:t>http://www.ofce.sciences</w:t>
        </w:r>
      </w:hyperlink>
    </w:p>
    <w:p>
      <w:pPr>
        <w:pStyle w:val="Notedebasdepage"/>
        <w:jc w:val="both"/>
        <w:rPr>
          <w:color w:val="000000"/>
          <w:sz w:val="24"/>
          <w:szCs w:val="24"/>
          <w:u w:val="none"/>
        </w:rPr>
      </w:pPr>
      <w:r>
        <w:rPr>
          <w:color w:val="000000"/>
          <w:sz w:val="24"/>
          <w:szCs w:val="24"/>
          <w:u w:val="none"/>
        </w:rPr>
        <w:t xml:space="preserve">-po.fr/clair&amp;net/clair&amp;net-59.htm </w:t>
      </w:r>
    </w:p>
    <w:p>
      <w:pPr>
        <w:pStyle w:val="Notedebasdepage"/>
        <w:jc w:val="both"/>
        <w:rPr>
          <w:sz w:val="24"/>
          <w:szCs w:val="24"/>
        </w:rPr>
      </w:pPr>
      <w:r>
        <w:rPr>
          <w:sz w:val="24"/>
          <w:szCs w:val="24"/>
        </w:rPr>
        <w:t xml:space="preserve">Goubert, </w:t>
      </w:r>
      <w:r>
        <w:rPr>
          <w:color w:val="000000"/>
          <w:sz w:val="24"/>
          <w:szCs w:val="24"/>
        </w:rPr>
        <w:t xml:space="preserve">J.-P. (1988) </w:t>
      </w:r>
      <w:r>
        <w:rPr>
          <w:i/>
          <w:iCs/>
          <w:color w:val="000000"/>
          <w:sz w:val="24"/>
          <w:szCs w:val="24"/>
        </w:rPr>
        <w:t>Du luxe au confort</w:t>
      </w:r>
      <w:r>
        <w:rPr>
          <w:color w:val="000000"/>
          <w:sz w:val="24"/>
          <w:szCs w:val="24"/>
        </w:rPr>
        <w:t>, Paris, Belin.</w:t>
      </w:r>
    </w:p>
    <w:p>
      <w:pPr>
        <w:pStyle w:val="Notedebasdepage"/>
        <w:jc w:val="both"/>
        <w:rPr>
          <w:sz w:val="24"/>
          <w:szCs w:val="24"/>
        </w:rPr>
      </w:pPr>
      <w:r>
        <w:rPr>
          <w:sz w:val="24"/>
          <w:szCs w:val="24"/>
        </w:rPr>
        <w:t xml:space="preserve">Guerrien, B., et Gun, Ö (2012) </w:t>
      </w:r>
      <w:r>
        <w:rPr>
          <w:i/>
          <w:iCs/>
          <w:color w:val="000000"/>
          <w:sz w:val="24"/>
          <w:szCs w:val="24"/>
        </w:rPr>
        <w:t>Dictionnaire d'analyse économique</w:t>
      </w:r>
      <w:r>
        <w:rPr>
          <w:color w:val="000000"/>
          <w:sz w:val="24"/>
          <w:szCs w:val="24"/>
        </w:rPr>
        <w:t>, Paris, La Découverte.</w:t>
      </w:r>
    </w:p>
    <w:p>
      <w:pPr>
        <w:pStyle w:val="Notedebasdepage"/>
        <w:jc w:val="both"/>
        <w:rPr/>
      </w:pPr>
      <w:r>
        <w:rPr>
          <w:sz w:val="24"/>
          <w:szCs w:val="24"/>
          <w:lang w:val="en-GB"/>
        </w:rPr>
        <w:t xml:space="preserve">Halbwachs, M. (1950) </w:t>
      </w:r>
      <w:r>
        <w:rPr>
          <w:i/>
          <w:iCs/>
          <w:sz w:val="24"/>
          <w:szCs w:val="24"/>
          <w:lang w:val="en-GB"/>
        </w:rPr>
        <w:t>La mémoire collective.</w:t>
      </w:r>
      <w:r>
        <w:rPr>
          <w:sz w:val="24"/>
          <w:szCs w:val="24"/>
          <w:lang w:val="en-GB"/>
        </w:rPr>
        <w:t xml:space="preserve"> Université du Québec à Chicoutimi. </w:t>
      </w:r>
      <w:r>
        <w:rPr>
          <w:rStyle w:val="Accentuationforte"/>
          <w:b w:val="false"/>
          <w:bCs w:val="false"/>
          <w:sz w:val="24"/>
          <w:szCs w:val="24"/>
        </w:rPr>
        <w:t>http://dx.doi.org/doi:10.1522/cla.ham.mem1</w:t>
      </w:r>
    </w:p>
    <w:p>
      <w:pPr>
        <w:pStyle w:val="Notedebasdepage"/>
        <w:jc w:val="both"/>
        <w:rPr>
          <w:sz w:val="24"/>
          <w:szCs w:val="24"/>
          <w:lang w:val="en-GB"/>
        </w:rPr>
      </w:pPr>
      <w:r>
        <w:rPr>
          <w:color w:val="000000"/>
          <w:sz w:val="24"/>
          <w:szCs w:val="24"/>
          <w:lang w:val="en-GB"/>
        </w:rPr>
        <w:t>Kortendiek</w:t>
      </w:r>
      <w:r>
        <w:rPr>
          <w:sz w:val="24"/>
          <w:szCs w:val="24"/>
          <w:lang w:val="en-GB"/>
        </w:rPr>
        <w:t>, P. , Van Treeck, T. (2015) « Teaching the euro crisis. What do students in Germany and</w:t>
      </w:r>
    </w:p>
    <w:p>
      <w:pPr>
        <w:pStyle w:val="Notedebasdepage"/>
        <w:jc w:val="both"/>
        <w:rPr>
          <w:sz w:val="24"/>
          <w:szCs w:val="24"/>
          <w:lang w:val="en-GB"/>
        </w:rPr>
      </w:pPr>
      <w:r>
        <w:rPr>
          <w:sz w:val="24"/>
          <w:szCs w:val="24"/>
          <w:lang w:val="en-GB"/>
        </w:rPr>
        <w:t xml:space="preserve">France learn about the causes of Europe's economic crisis ? » </w:t>
      </w:r>
      <w:r>
        <w:rPr>
          <w:i/>
          <w:iCs/>
          <w:sz w:val="24"/>
          <w:szCs w:val="24"/>
          <w:lang w:val="en-GB"/>
        </w:rPr>
        <w:t>CIVES</w:t>
      </w:r>
      <w:r>
        <w:rPr>
          <w:sz w:val="24"/>
          <w:szCs w:val="24"/>
          <w:lang w:val="en-GB"/>
        </w:rPr>
        <w:t>. School of civic education.</w:t>
      </w:r>
    </w:p>
    <w:p>
      <w:pPr>
        <w:pStyle w:val="Notedebasdepage"/>
        <w:jc w:val="both"/>
        <w:rPr>
          <w:sz w:val="24"/>
          <w:szCs w:val="24"/>
          <w:lang w:val="en-GB"/>
        </w:rPr>
      </w:pPr>
      <w:r>
        <w:rPr>
          <w:sz w:val="24"/>
          <w:szCs w:val="24"/>
          <w:lang w:val="en-GB"/>
        </w:rPr>
        <w:t>cives-school.de</w:t>
      </w:r>
    </w:p>
    <w:p>
      <w:pPr>
        <w:pStyle w:val="Notedebasdepage"/>
        <w:ind w:left="0" w:right="0" w:hanging="340"/>
        <w:jc w:val="both"/>
        <w:rPr>
          <w:sz w:val="24"/>
          <w:szCs w:val="24"/>
          <w:lang w:val="en-GB"/>
        </w:rPr>
      </w:pPr>
      <w:r>
        <w:rPr>
          <w:rFonts w:eastAsia="Times New Roman" w:cs="Times New Roman"/>
          <w:sz w:val="24"/>
          <w:szCs w:val="24"/>
          <w:lang w:val="en-GB"/>
        </w:rPr>
        <w:t xml:space="preserve">      </w:t>
      </w:r>
      <w:r>
        <w:rPr>
          <w:sz w:val="24"/>
          <w:szCs w:val="24"/>
          <w:lang w:val="en-GB"/>
        </w:rPr>
        <w:t xml:space="preserve">Krugman, P. (2007) </w:t>
      </w:r>
      <w:r>
        <w:rPr>
          <w:i/>
          <w:iCs/>
          <w:sz w:val="24"/>
          <w:szCs w:val="24"/>
          <w:lang w:val="en-GB"/>
        </w:rPr>
        <w:t>The Conscience of a Liberal</w:t>
      </w:r>
      <w:r>
        <w:rPr>
          <w:sz w:val="24"/>
          <w:szCs w:val="24"/>
          <w:lang w:val="en-GB"/>
        </w:rPr>
        <w:t>, New York, Norton.</w:t>
      </w:r>
    </w:p>
    <w:p>
      <w:pPr>
        <w:pStyle w:val="DefaultText"/>
        <w:jc w:val="both"/>
        <w:rPr>
          <w:color w:val="000000"/>
        </w:rPr>
      </w:pPr>
      <w:r>
        <w:rPr>
          <w:color w:val="000000"/>
        </w:rPr>
        <w:t xml:space="preserve">Le Goff, O. (1994). </w:t>
      </w:r>
      <w:r>
        <w:rPr>
          <w:i/>
          <w:iCs/>
          <w:color w:val="000000"/>
        </w:rPr>
        <w:t>L'invention du confort. Naissance d'une forme sociale</w:t>
      </w:r>
      <w:r>
        <w:rPr>
          <w:iCs/>
          <w:color w:val="000000"/>
        </w:rPr>
        <w:t>,</w:t>
      </w:r>
      <w:r>
        <w:rPr>
          <w:color w:val="000000"/>
        </w:rPr>
        <w:t xml:space="preserve"> Lyon, Presses Universitaires de Lyon.</w:t>
      </w:r>
    </w:p>
    <w:p>
      <w:pPr>
        <w:pStyle w:val="DefaultText"/>
        <w:jc w:val="both"/>
        <w:rPr>
          <w:color w:val="000000"/>
        </w:rPr>
      </w:pPr>
      <w:r>
        <w:rPr>
          <w:color w:val="000000"/>
        </w:rPr>
        <w:t xml:space="preserve">Legardez A. (2001), </w:t>
      </w:r>
      <w:r>
        <w:rPr>
          <w:i/>
          <w:iCs/>
          <w:color w:val="000000"/>
        </w:rPr>
        <w:t>La didactique des SES. Bilan et perspectives</w:t>
      </w:r>
      <w:r>
        <w:rPr>
          <w:color w:val="000000"/>
        </w:rPr>
        <w:t>, Publications de l'Université de Provence.</w:t>
      </w:r>
    </w:p>
    <w:p>
      <w:pPr>
        <w:pStyle w:val="DefaultText"/>
        <w:jc w:val="both"/>
        <w:rPr>
          <w:color w:val="000000"/>
        </w:rPr>
      </w:pPr>
      <w:r>
        <w:rPr>
          <w:color w:val="000000"/>
        </w:rPr>
        <w:t xml:space="preserve">Lordon, F. (1997) </w:t>
      </w:r>
      <w:r>
        <w:rPr>
          <w:i/>
          <w:iCs/>
          <w:color w:val="000000"/>
        </w:rPr>
        <w:t>La quadrature de la politique économique</w:t>
      </w:r>
      <w:r>
        <w:rPr>
          <w:color w:val="000000"/>
        </w:rPr>
        <w:t>. Paris, Albin Michel.</w:t>
      </w:r>
    </w:p>
    <w:p>
      <w:pPr>
        <w:pStyle w:val="Notedebasdepage"/>
        <w:ind w:left="0" w:right="0" w:hanging="0"/>
        <w:jc w:val="both"/>
        <w:rPr>
          <w:color w:val="000000"/>
          <w:sz w:val="24"/>
          <w:szCs w:val="24"/>
        </w:rPr>
      </w:pPr>
      <w:r>
        <w:rPr>
          <w:color w:val="000000"/>
          <w:sz w:val="24"/>
          <w:szCs w:val="24"/>
        </w:rPr>
        <w:t xml:space="preserve">Maréchal, J.-P. (2008) « Paul Krugman, Robert Reich et les inégalités aux États-Unis », in </w:t>
      </w:r>
      <w:r>
        <w:rPr>
          <w:i/>
          <w:iCs/>
          <w:color w:val="000000"/>
          <w:sz w:val="24"/>
          <w:szCs w:val="24"/>
        </w:rPr>
        <w:t>L'économie politique</w:t>
      </w:r>
      <w:r>
        <w:rPr>
          <w:color w:val="000000"/>
          <w:sz w:val="24"/>
          <w:szCs w:val="24"/>
        </w:rPr>
        <w:t>, n° 39.</w:t>
      </w:r>
    </w:p>
    <w:p>
      <w:pPr>
        <w:pStyle w:val="DefaultText"/>
        <w:jc w:val="both"/>
        <w:rPr>
          <w:color w:val="000000"/>
        </w:rPr>
      </w:pPr>
      <w:r>
        <w:rPr>
          <w:color w:val="000000"/>
        </w:rPr>
        <w:t xml:space="preserve">Orléan, A. (2016) « Minsky l'hérétique », </w:t>
      </w:r>
      <w:r>
        <w:rPr>
          <w:i/>
          <w:iCs/>
          <w:color w:val="000000"/>
        </w:rPr>
        <w:t>L'économie politique</w:t>
      </w:r>
      <w:r>
        <w:rPr>
          <w:color w:val="000000"/>
        </w:rPr>
        <w:t>, n° 70.</w:t>
      </w:r>
    </w:p>
    <w:p>
      <w:pPr>
        <w:pStyle w:val="Normal"/>
        <w:jc w:val="both"/>
        <w:rPr>
          <w:lang w:val="en-GB"/>
        </w:rPr>
      </w:pPr>
      <w:r>
        <w:rPr>
          <w:lang w:val="en-GB"/>
        </w:rPr>
        <w:t xml:space="preserve">Palley, Th.I. (2016) « Inequality, the financial crisis and stagnation: competing stories and why they matter. » in </w:t>
      </w:r>
      <w:r>
        <w:rPr>
          <w:i/>
          <w:iCs/>
          <w:lang w:val="en-GB"/>
        </w:rPr>
        <w:t>real-world economics review</w:t>
      </w:r>
      <w:r>
        <w:rPr>
          <w:lang w:val="en-GB"/>
        </w:rPr>
        <w:t>, issue no. 74.</w:t>
      </w:r>
    </w:p>
    <w:p>
      <w:pPr>
        <w:pStyle w:val="Normal"/>
        <w:jc w:val="both"/>
        <w:rPr>
          <w:color w:val="000000"/>
        </w:rPr>
      </w:pPr>
      <w:r>
        <w:rPr>
          <w:color w:val="000000"/>
        </w:rPr>
        <w:t xml:space="preserve">Piketty T. (2008) </w:t>
      </w:r>
      <w:r>
        <w:rPr>
          <w:i/>
          <w:color w:val="000000"/>
        </w:rPr>
        <w:t>L’économie des inégalités</w:t>
      </w:r>
      <w:r>
        <w:rPr>
          <w:color w:val="000000"/>
        </w:rPr>
        <w:t>, 6</w:t>
      </w:r>
      <w:r>
        <w:rPr>
          <w:color w:val="000000"/>
          <w:vertAlign w:val="superscript"/>
        </w:rPr>
        <w:t>ème</w:t>
      </w:r>
      <w:r>
        <w:rPr>
          <w:color w:val="000000"/>
        </w:rPr>
        <w:t xml:space="preserve"> édition, Paris, La Découverte.</w:t>
      </w:r>
    </w:p>
    <w:p>
      <w:pPr>
        <w:pStyle w:val="Normal"/>
        <w:jc w:val="both"/>
        <w:rPr>
          <w:color w:val="000000"/>
        </w:rPr>
      </w:pPr>
      <w:r>
        <w:rPr>
          <w:color w:val="000000"/>
        </w:rPr>
        <w:t xml:space="preserve">Piketty T. (2013) </w:t>
      </w:r>
      <w:r>
        <w:rPr>
          <w:i/>
          <w:color w:val="000000"/>
        </w:rPr>
        <w:t>Le capital au XXI</w:t>
      </w:r>
      <w:r>
        <w:rPr>
          <w:i/>
          <w:color w:val="000000"/>
          <w:vertAlign w:val="superscript"/>
        </w:rPr>
        <w:t>e</w:t>
      </w:r>
      <w:r>
        <w:rPr>
          <w:i/>
          <w:color w:val="000000"/>
        </w:rPr>
        <w:t xml:space="preserve"> siècle</w:t>
      </w:r>
      <w:r>
        <w:rPr>
          <w:color w:val="000000"/>
        </w:rPr>
        <w:t>, Paris, Le Seuil.</w:t>
      </w:r>
    </w:p>
    <w:p>
      <w:pPr>
        <w:pStyle w:val="Normal"/>
        <w:jc w:val="both"/>
        <w:rPr/>
      </w:pPr>
      <w:r>
        <w:rPr/>
        <w:t>Ponsot, J.-F., et Rocca, M. (2013) « </w:t>
      </w:r>
      <w:bookmarkStart w:id="0" w:name="docTitle"/>
      <w:bookmarkEnd w:id="0"/>
      <w:r>
        <w:rPr/>
        <w:t xml:space="preserve">Le renouvellement de la pensée économique durant la crise des années 1930. Le découplage théorie économique / politique économique. », </w:t>
      </w:r>
      <w:r>
        <w:rPr>
          <w:i/>
          <w:iCs/>
        </w:rPr>
        <w:t>Revue de la régulation</w:t>
      </w:r>
      <w:r>
        <w:rPr/>
        <w:t>, Paris.</w:t>
      </w:r>
    </w:p>
    <w:p>
      <w:pPr>
        <w:pStyle w:val="DefaultText"/>
        <w:jc w:val="both"/>
        <w:rPr>
          <w:color w:val="000000"/>
          <w:lang w:val="en-GB"/>
        </w:rPr>
      </w:pPr>
      <w:r>
        <w:rPr>
          <w:color w:val="000000"/>
          <w:lang w:val="en-GB"/>
        </w:rPr>
        <w:t xml:space="preserve">Reich, R. (2007) </w:t>
      </w:r>
      <w:r>
        <w:rPr>
          <w:i/>
          <w:iCs/>
          <w:color w:val="000000"/>
          <w:lang w:val="en-GB"/>
        </w:rPr>
        <w:t>Supercapitalism</w:t>
      </w:r>
      <w:r>
        <w:rPr>
          <w:color w:val="000000"/>
          <w:lang w:val="en-GB"/>
        </w:rPr>
        <w:t>, New York, Knopf.</w:t>
      </w:r>
    </w:p>
    <w:p>
      <w:pPr>
        <w:pStyle w:val="DefaultText"/>
        <w:jc w:val="both"/>
        <w:rPr>
          <w:color w:val="000000"/>
        </w:rPr>
      </w:pPr>
      <w:r>
        <w:rPr>
          <w:color w:val="000000"/>
        </w:rPr>
        <w:t xml:space="preserve">Solans H. (2008) </w:t>
      </w:r>
      <w:r>
        <w:rPr>
          <w:i/>
          <w:iCs/>
          <w:color w:val="000000"/>
        </w:rPr>
        <w:t>L'économie politique mise à nu par la question sociale même.</w:t>
      </w:r>
      <w:r>
        <w:rPr>
          <w:color w:val="000000"/>
        </w:rPr>
        <w:t xml:space="preserve"> Paris : L'Harmattan.</w:t>
      </w:r>
    </w:p>
    <w:p>
      <w:pPr>
        <w:pStyle w:val="Normal"/>
        <w:jc w:val="both"/>
        <w:rPr>
          <w:color w:val="000000"/>
        </w:rPr>
      </w:pPr>
      <w:r>
        <w:rPr>
          <w:color w:val="000000"/>
        </w:rPr>
        <w:t xml:space="preserve">Triby, E. (1994) « L'enseignement de l'économie au lycée et à l'université : l'altérité de deux systèmes didactiques », </w:t>
      </w:r>
      <w:r>
        <w:rPr>
          <w:i/>
          <w:iCs/>
          <w:color w:val="000000"/>
        </w:rPr>
        <w:t>Documents pour l'Enseignement Économique et Social</w:t>
      </w:r>
      <w:r>
        <w:rPr>
          <w:iCs/>
          <w:color w:val="000000"/>
        </w:rPr>
        <w:t>,</w:t>
      </w:r>
      <w:r>
        <w:rPr>
          <w:i/>
          <w:iCs/>
          <w:color w:val="000000"/>
        </w:rPr>
        <w:t xml:space="preserve"> </w:t>
      </w:r>
      <w:r>
        <w:rPr>
          <w:iCs/>
          <w:color w:val="000000"/>
        </w:rPr>
        <w:t>n°95</w:t>
      </w:r>
      <w:r>
        <w:rPr>
          <w:color w:val="000000"/>
        </w:rPr>
        <w:t>, Paris, CNDP.</w:t>
      </w:r>
    </w:p>
    <w:p>
      <w:pPr>
        <w:pStyle w:val="DefaultText"/>
        <w:jc w:val="both"/>
        <w:rPr>
          <w:color w:val="000000"/>
        </w:rPr>
      </w:pPr>
      <w:r>
        <w:rPr>
          <w:color w:val="000000"/>
        </w:rPr>
        <w:t xml:space="preserve">Vergès, P. (1989) « Les représentations sociales de l'économie : une forme de connaissance », in Jodelet, D., </w:t>
      </w:r>
      <w:r>
        <w:rPr>
          <w:i/>
          <w:iCs/>
          <w:color w:val="000000"/>
        </w:rPr>
        <w:t>Les représentations sociales.</w:t>
      </w:r>
      <w:r>
        <w:rPr>
          <w:color w:val="000000"/>
        </w:rPr>
        <w:t xml:space="preserve"> Paris, Presses Universitaires de France.</w:t>
      </w:r>
    </w:p>
    <w:p>
      <w:pPr>
        <w:pStyle w:val="DefaultText"/>
        <w:jc w:val="both"/>
        <w:rPr/>
      </w:pPr>
      <w:r>
        <w:rPr>
          <w:lang w:val="en-GB"/>
        </w:rPr>
        <w:t xml:space="preserve">Williams, R. (1983) </w:t>
      </w:r>
      <w:r>
        <w:rPr>
          <w:i/>
          <w:iCs/>
          <w:lang w:val="en-GB"/>
        </w:rPr>
        <w:t>Keywords</w:t>
      </w:r>
      <w:r>
        <w:rPr>
          <w:lang w:val="en-GB"/>
        </w:rPr>
        <w:t>, London, Fontana Press. ​</w:t>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Wingdings">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r>
    <w:r>
      <w:rPr/>
      <w:fldChar w:fldCharType="begin"/>
    </w:r>
    <w:r>
      <w:instrText> PAGE </w:instrText>
    </w:r>
    <w:r>
      <w:fldChar w:fldCharType="separate"/>
    </w:r>
    <w:r>
      <w:t>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ind w:left="0" w:right="0" w:hanging="0"/>
        <w:jc w:val="both"/>
        <w:rPr/>
      </w:pPr>
      <w:r>
        <w:rPr>
          <w:rFonts w:eastAsia="Times New Roman" w:cs="Times New Roman"/>
        </w:rPr>
        <w:footnoteRef/>
        <w:tab/>
        <w:t xml:space="preserve"> </w:t>
      </w:r>
      <w:r>
        <w:rPr/>
        <w:t xml:space="preserve">Maître de conférences, économiste, Centre du droit et de la concurrence (CDED), EA 4216, université de Perpignan, </w:t>
      </w:r>
      <w:hyperlink r:id="rId1">
        <w:r>
          <w:rPr>
            <w:rStyle w:val="LienInternet"/>
          </w:rPr>
          <w:t>blanchard@univ-perp.fr</w:t>
        </w:r>
      </w:hyperlink>
    </w:p>
  </w:footnote>
  <w:footnote w:id="3">
    <w:p>
      <w:pPr>
        <w:pStyle w:val="Notedebasdepage"/>
        <w:ind w:left="0" w:right="0" w:hanging="0"/>
        <w:jc w:val="both"/>
        <w:rPr/>
      </w:pPr>
      <w:r>
        <w:rPr>
          <w:rFonts w:eastAsia="Times New Roman" w:cs="Times New Roman"/>
        </w:rPr>
        <w:footnoteRef/>
        <w:tab/>
        <w:t xml:space="preserve"> </w:t>
      </w:r>
      <w:r>
        <w:rPr/>
        <w:t xml:space="preserve">Chercheur, économiste, Centre du droit et de la concurrence (CDED), EA 4216, université de Perpignan, </w:t>
      </w:r>
      <w:hyperlink r:id="rId2">
        <w:r>
          <w:rPr>
            <w:rStyle w:val="LienInternet"/>
          </w:rPr>
          <w:t>yp-coleno@wanadoo.fr</w:t>
        </w:r>
      </w:hyperlink>
    </w:p>
  </w:footnote>
  <w:footnote w:id="4">
    <w:p>
      <w:pPr>
        <w:pStyle w:val="Notedebasdepage"/>
        <w:ind w:left="0" w:right="0" w:hanging="0"/>
        <w:jc w:val="both"/>
        <w:rPr/>
      </w:pPr>
      <w:r>
        <w:rPr/>
        <w:footnoteRef/>
        <w:tab/>
        <w:t> </w:t>
      </w:r>
      <w:r>
        <w:rPr/>
        <w:t>Cf. conférence AEEE et colloque d'Aix-en-Provence (2014).</w:t>
      </w:r>
    </w:p>
  </w:footnote>
  <w:footnote w:id="5">
    <w:p>
      <w:pPr>
        <w:pStyle w:val="Notedebasdepage"/>
        <w:ind w:left="0" w:right="0" w:hanging="0"/>
        <w:jc w:val="both"/>
        <w:rPr/>
      </w:pPr>
      <w:r>
        <w:rPr/>
        <w:footnoteRef/>
        <w:tab/>
        <w:t> </w:t>
      </w:r>
      <w:r>
        <w:rPr/>
        <w:t>Extrait du préambule du programme de SES pour le cycle terminal.</w:t>
      </w:r>
    </w:p>
  </w:footnote>
  <w:footnote w:id="6">
    <w:p>
      <w:pPr>
        <w:pStyle w:val="Notedebasdepage"/>
        <w:rPr/>
      </w:pPr>
      <w:r>
        <w:rPr>
          <w:color w:val="000000"/>
        </w:rPr>
        <w:footnoteRef/>
        <w:tab/>
      </w:r>
      <w:r>
        <w:rPr>
          <w:color w:val="000000"/>
        </w:rPr>
        <w:t>Il s'agit de l'économie en tant que discipline universitaire, qui sert de référence pour les savoirs à enseigner dans le cadre de la discipline scolaire « </w:t>
      </w:r>
      <w:r>
        <w:rPr>
          <w:i/>
          <w:iCs/>
          <w:color w:val="000000"/>
        </w:rPr>
        <w:t>Sciences Économiques et Sociales</w:t>
      </w:r>
      <w:r>
        <w:rPr>
          <w:color w:val="000000"/>
        </w:rPr>
        <w:t> ».</w:t>
      </w:r>
    </w:p>
  </w:footnote>
  <w:footnote w:id="7">
    <w:p>
      <w:pPr>
        <w:pStyle w:val="Notedebasdepage"/>
        <w:ind w:left="0" w:right="0" w:hanging="0"/>
        <w:jc w:val="both"/>
        <w:rPr/>
      </w:pPr>
      <w:r>
        <w:rPr/>
        <w:footnoteRef/>
        <w:tab/>
        <w:t> </w:t>
      </w:r>
      <w:r>
        <w:rPr/>
        <w:t>Cf. Ponsot et Rocca (2013).</w:t>
      </w:r>
    </w:p>
  </w:footnote>
  <w:footnote w:id="8">
    <w:p>
      <w:pPr>
        <w:pStyle w:val="Notedebasdepage"/>
        <w:rPr/>
      </w:pPr>
      <w:r>
        <w:rPr>
          <w:color w:val="0000FF"/>
        </w:rPr>
        <w:footnoteRef/>
        <w:tab/>
      </w:r>
      <w:r>
        <w:rPr>
          <w:color w:val="000000"/>
        </w:rPr>
        <w:t>Un bref lexique est à disposition, si nécessaire, à la fin du texte.</w:t>
      </w:r>
    </w:p>
  </w:footnote>
  <w:footnote w:id="9">
    <w:p>
      <w:pPr>
        <w:pStyle w:val="Notedebasdepage"/>
        <w:ind w:left="0" w:right="0" w:hanging="0"/>
        <w:jc w:val="both"/>
        <w:rPr/>
      </w:pPr>
      <w:r>
        <w:rPr>
          <w:color w:val="000000"/>
        </w:rPr>
        <w:footnoteRef/>
        <w:tab/>
        <w:t> </w:t>
      </w:r>
      <w:r>
        <w:rPr>
          <w:color w:val="000000"/>
        </w:rPr>
        <w:t>On peut synthétiser cette double relation entre l'enseignement et le système de pensées, en disant qu'il s'agit d'étudier ce qui se passe réellement "</w:t>
      </w:r>
      <w:r>
        <w:rPr>
          <w:i/>
          <w:iCs/>
          <w:color w:val="000000"/>
        </w:rPr>
        <w:t>quand la société s’organise pour faire de la dissémination du savoir sur elle-même une condition de sa pérennité</w:t>
      </w:r>
      <w:r>
        <w:rPr>
          <w:color w:val="000000"/>
        </w:rPr>
        <w:t xml:space="preserve">”. (Triby, 1994). </w:t>
      </w:r>
    </w:p>
  </w:footnote>
  <w:footnote w:id="10">
    <w:p>
      <w:pPr>
        <w:pStyle w:val="Notedebasdepage"/>
        <w:ind w:left="0" w:right="0" w:hanging="0"/>
        <w:jc w:val="both"/>
        <w:rPr/>
      </w:pPr>
      <w:r>
        <w:rPr/>
        <w:footnoteRef/>
        <w:tab/>
        <w:t> </w:t>
      </w:r>
      <w:r>
        <w:rPr/>
        <w:t>Le terme est employé au départ par Lordon (1997), qui montre comment intégrer les représentations, constructions collectives de sens, dans  l'analyse des politiques économiques. Ce terme a depuis été repris par Solans (2008).</w:t>
      </w:r>
    </w:p>
  </w:footnote>
  <w:footnote w:id="11">
    <w:p>
      <w:pPr>
        <w:pStyle w:val="Notedebasdepage"/>
        <w:ind w:left="0" w:right="0" w:hanging="0"/>
        <w:jc w:val="both"/>
        <w:rPr/>
      </w:pPr>
      <w:r>
        <w:rPr/>
        <w:footnoteRef/>
        <w:tab/>
        <w:t> </w:t>
      </w:r>
      <w:r>
        <w:rPr/>
        <w:t>Par exemple riches et pauvres, ou bien ouvriers et patrons.</w:t>
      </w:r>
    </w:p>
  </w:footnote>
  <w:footnote w:id="12">
    <w:p>
      <w:pPr>
        <w:pStyle w:val="Notedebasdepage"/>
        <w:ind w:left="0" w:right="0" w:hanging="0"/>
        <w:jc w:val="both"/>
        <w:rPr/>
      </w:pPr>
      <w:r>
        <w:rPr/>
        <w:footnoteRef/>
        <w:tab/>
        <w:t> </w:t>
      </w:r>
      <w:r>
        <w:rPr/>
        <w:t>Nous retrouvons une idée que développe Williams.</w:t>
      </w:r>
    </w:p>
  </w:footnote>
  <w:footnote w:id="13">
    <w:p>
      <w:pPr>
        <w:pStyle w:val="Notedebasdepage"/>
        <w:jc w:val="both"/>
        <w:rPr/>
      </w:pPr>
      <w:r>
        <w:rPr>
          <w:rFonts w:eastAsia="Times New Roman" w:cs="Times New Roman"/>
        </w:rPr>
        <w:footnoteRef/>
        <w:tab/>
        <w:t xml:space="preserve"> </w:t>
      </w:r>
      <w:r>
        <w:rPr/>
        <w:t>Le terme contrat et la contractualisation sont aujourd’hui au cœur des dispositifs publics et dans l’ensemble des discours de la classe politique.</w:t>
      </w:r>
    </w:p>
  </w:footnote>
  <w:footnote w:id="14">
    <w:p>
      <w:pPr>
        <w:pStyle w:val="Notedebasdepage"/>
        <w:ind w:left="0" w:right="0" w:hanging="0"/>
        <w:jc w:val="both"/>
        <w:rPr/>
      </w:pPr>
      <w:r>
        <w:rPr/>
        <w:footnoteRef/>
        <w:tab/>
        <w:t> </w:t>
      </w:r>
      <w:r>
        <w:rPr/>
        <w:t>Plus précisément, c'est le ministère de l'Éducation Nationale, institution de l'État central, qui en a la charge. Le caractère officiel du programme est consacré par la façon dont il est rendu public : d'abord par l'inscription au « </w:t>
      </w:r>
      <w:r>
        <w:rPr>
          <w:i/>
          <w:iCs/>
        </w:rPr>
        <w:t>Journal Officiel de la République Française</w:t>
      </w:r>
      <w:r>
        <w:rPr/>
        <w:t> », comme toutes les lois et décrets, puis par l'inscription au « </w:t>
      </w:r>
      <w:r>
        <w:rPr>
          <w:i/>
          <w:iCs/>
        </w:rPr>
        <w:t>Bulletin Officiel de l'Éducation Nationale</w:t>
      </w:r>
      <w:r>
        <w:rPr/>
        <w:t xml:space="preserve"> ».  </w:t>
      </w:r>
    </w:p>
  </w:footnote>
  <w:footnote w:id="15">
    <w:p>
      <w:pPr>
        <w:pStyle w:val="Notedebasdepage"/>
        <w:ind w:left="0" w:right="0" w:hanging="0"/>
        <w:jc w:val="both"/>
        <w:rPr/>
      </w:pPr>
      <w:r>
        <w:rPr/>
        <w:footnoteRef/>
        <w:tab/>
        <w:t> </w:t>
      </w:r>
      <w:r>
        <w:rPr/>
        <w:t>Représentant a priori la totalité des manuels sur le marché, ces ouvrages sont sans doute l'auxiliaire principal de l'enseignement, pour les élèves et les enseignants, et d'ailleurs certains des cours en ligne examinés en reprennent des extraits, tout en constituant un substitut aux manuels.</w:t>
      </w:r>
    </w:p>
  </w:footnote>
  <w:footnote w:id="16">
    <w:p>
      <w:pPr>
        <w:pStyle w:val="Notedebasdepage"/>
        <w:ind w:left="0" w:right="0" w:hanging="0"/>
        <w:jc w:val="both"/>
        <w:rPr/>
      </w:pPr>
      <w:r>
        <w:rPr/>
        <w:footnoteRef/>
        <w:tab/>
        <w:t> </w:t>
      </w:r>
      <w:r>
        <w:rPr/>
        <w:t>Site Melchior, édité par l'Institut de l'Entreprise.</w:t>
      </w:r>
    </w:p>
  </w:footnote>
  <w:footnote w:id="17">
    <w:p>
      <w:pPr>
        <w:pStyle w:val="Notedebasdepage"/>
        <w:ind w:left="0" w:right="0" w:hanging="0"/>
        <w:jc w:val="both"/>
        <w:rPr/>
      </w:pPr>
      <w:r>
        <w:rPr/>
        <w:footnoteRef/>
        <w:tab/>
        <w:t> </w:t>
      </w:r>
      <w:r>
        <w:rPr/>
        <w:t>La crise inclut alors la récession ou dépression qui suit le retournement.</w:t>
      </w:r>
    </w:p>
  </w:footnote>
  <w:footnote w:id="18">
    <w:p>
      <w:pPr>
        <w:pStyle w:val="Notedebasdepage"/>
        <w:ind w:left="0" w:right="0" w:hanging="0"/>
        <w:jc w:val="both"/>
        <w:rPr/>
      </w:pPr>
      <w:r>
        <w:rPr/>
        <w:footnoteRef/>
        <w:tab/>
        <w:t> </w:t>
      </w:r>
      <w:r>
        <w:rPr/>
        <w:t>Ce terme s'inscrit dans le même ordre d'idées que celui de « </w:t>
      </w:r>
      <w:r>
        <w:rPr>
          <w:i/>
          <w:iCs/>
        </w:rPr>
        <w:t>choc</w:t>
      </w:r>
      <w:r>
        <w:rPr/>
        <w:t> ».</w:t>
      </w:r>
    </w:p>
  </w:footnote>
  <w:footnote w:id="19">
    <w:p>
      <w:pPr>
        <w:pStyle w:val="Notedebasdepage"/>
        <w:ind w:left="0" w:right="0" w:hanging="0"/>
        <w:jc w:val="both"/>
        <w:rPr/>
      </w:pPr>
      <w:r>
        <w:rPr/>
        <w:footnoteRef/>
        <w:tab/>
        <w:t> </w:t>
      </w:r>
      <w:r>
        <w:rPr/>
        <w:t xml:space="preserve">Dans les manuels on trouve ainsi une entrée au lexique pour ce terme. </w:t>
      </w:r>
    </w:p>
  </w:footnote>
  <w:footnote w:id="20">
    <w:p>
      <w:pPr>
        <w:pStyle w:val="Notedebasdepage"/>
        <w:ind w:left="0" w:right="0" w:hanging="0"/>
        <w:jc w:val="both"/>
        <w:rPr/>
      </w:pPr>
      <w:r>
        <w:rPr/>
        <w:footnoteRef/>
        <w:tab/>
        <w:t> </w:t>
      </w:r>
      <w:r>
        <w:rPr/>
        <w:t>Un manuel et un cours en ligne – qui emprunte apparemment la définition audit manuel – donnent une définition précise en ce sens.  Un autre cours en ligne définit simplement les chocs comme des « </w:t>
      </w:r>
      <w:r>
        <w:rPr>
          <w:i/>
          <w:iCs/>
        </w:rPr>
        <w:t>impulsions exogènes</w:t>
      </w:r>
      <w:r>
        <w:rPr/>
        <w:t xml:space="preserve"> (...) ».</w:t>
      </w:r>
    </w:p>
  </w:footnote>
  <w:footnote w:id="21">
    <w:p>
      <w:pPr>
        <w:pStyle w:val="Notedebasdepage"/>
        <w:ind w:left="0" w:right="0" w:hanging="0"/>
        <w:jc w:val="both"/>
        <w:rPr/>
      </w:pPr>
      <w:r>
        <w:rPr/>
        <w:footnoteRef/>
        <w:tab/>
        <w:t> </w:t>
      </w:r>
      <w:r>
        <w:rPr/>
        <w:t>Les élèves ne sont-ils pas en droit de savoir pourquoi on emploie ce mot ?</w:t>
      </w:r>
    </w:p>
  </w:footnote>
  <w:footnote w:id="22">
    <w:p>
      <w:pPr>
        <w:pStyle w:val="Notedebasdepage"/>
        <w:ind w:left="0" w:right="0" w:hanging="0"/>
        <w:jc w:val="both"/>
        <w:rPr/>
      </w:pPr>
      <w:r>
        <w:rPr/>
        <w:footnoteRef/>
        <w:tab/>
        <w:t> </w:t>
      </w:r>
      <w:r>
        <w:rPr/>
        <w:t>Un manuel, repris en cela par un des cours en ligne, indique : « </w:t>
      </w:r>
      <w:r>
        <w:rPr>
          <w:i/>
          <w:iCs/>
        </w:rPr>
        <w:t>La théorie du « cycle du crédit » est simple : les récessions sont aggravées par les comportements des banques.</w:t>
      </w:r>
      <w:r>
        <w:rPr/>
        <w:t> »</w:t>
      </w:r>
    </w:p>
  </w:footnote>
  <w:footnote w:id="23">
    <w:p>
      <w:pPr>
        <w:pStyle w:val="Notedebasdepage"/>
        <w:ind w:left="0" w:right="0" w:hanging="0"/>
        <w:jc w:val="both"/>
        <w:rPr/>
      </w:pPr>
      <w:r>
        <w:rPr/>
        <w:footnoteRef/>
        <w:tab/>
        <w:t> </w:t>
      </w:r>
      <w:r>
        <w:rPr/>
        <w:t>Et reprise par un des cours en ligne examiné, qui en outre donne le « </w:t>
      </w:r>
      <w:r>
        <w:rPr>
          <w:i/>
          <w:iCs/>
        </w:rPr>
        <w:t>fordisme</w:t>
      </w:r>
      <w:r>
        <w:rPr/>
        <w:t> » comme exemple de « </w:t>
      </w:r>
      <w:r>
        <w:rPr>
          <w:i/>
          <w:iCs/>
        </w:rPr>
        <w:t>choc d'offre </w:t>
      </w:r>
      <w:r>
        <w:rPr/>
        <w:t>» après avoir relié de tels chocs à des « </w:t>
      </w:r>
      <w:r>
        <w:rPr>
          <w:i/>
          <w:iCs/>
        </w:rPr>
        <w:t>variations brutales de la situation économique des offreurs</w:t>
      </w:r>
      <w:r>
        <w:rPr/>
        <w:t> ». Ledit fordisme n'est par ailleurs pas présenté comme un concept, mais comme une réalité historique, un « fait ».</w:t>
      </w:r>
    </w:p>
  </w:footnote>
  <w:footnote w:id="24">
    <w:p>
      <w:pPr>
        <w:pStyle w:val="Notedebasdepage"/>
        <w:ind w:left="0" w:right="0" w:hanging="0"/>
        <w:jc w:val="both"/>
        <w:rPr/>
      </w:pPr>
      <w:r>
        <w:rPr/>
        <w:footnoteRef/>
        <w:tab/>
        <w:t> </w:t>
      </w:r>
      <w:r>
        <w:rPr/>
        <w:t>On retrouve en effet, suite à cette introduction, l'explication par la tendance des agents économiques à pécher par « </w:t>
      </w:r>
      <w:r>
        <w:rPr>
          <w:i/>
          <w:iCs/>
        </w:rPr>
        <w:t>excès</w:t>
      </w:r>
      <w:r>
        <w:rPr/>
        <w:t> », et cela conduit à la thèse de « </w:t>
      </w:r>
      <w:r>
        <w:rPr>
          <w:i/>
          <w:iCs/>
        </w:rPr>
        <w:t>l'accélérateur financier</w:t>
      </w:r>
      <w:r>
        <w:rPr/>
        <w:t> » : « </w:t>
      </w:r>
      <w:r>
        <w:rPr>
          <w:i/>
          <w:iCs/>
        </w:rPr>
        <w:t>le développement de la sphère financière amplifierait les différentes phases du cycle économique.</w:t>
      </w:r>
      <w:r>
        <w:rPr/>
        <w:t> »</w:t>
      </w:r>
    </w:p>
  </w:footnote>
  <w:footnote w:id="25">
    <w:p>
      <w:pPr>
        <w:pStyle w:val="Notedebasdepage"/>
        <w:ind w:left="0" w:right="0" w:hanging="0"/>
        <w:jc w:val="both"/>
        <w:rPr/>
      </w:pPr>
      <w:r>
        <w:rPr/>
        <w:footnoteRef/>
        <w:tab/>
        <w:t> </w:t>
      </w:r>
      <w:r>
        <w:rPr/>
        <w:t xml:space="preserve">Gaffard, J.-L. </w:t>
      </w:r>
      <w:r>
        <w:rPr>
          <w:color w:val="000000"/>
        </w:rPr>
        <w:t>(2008)</w:t>
      </w:r>
      <w:r>
        <w:rPr/>
        <w:t>.</w:t>
      </w:r>
    </w:p>
  </w:footnote>
  <w:footnote w:id="26">
    <w:p>
      <w:pPr>
        <w:pStyle w:val="Notedebasdepage"/>
        <w:ind w:left="0" w:right="0" w:hanging="0"/>
        <w:jc w:val="both"/>
        <w:rPr/>
      </w:pPr>
      <w:r>
        <w:rPr/>
        <w:footnoteRef/>
        <w:tab/>
        <w:t> </w:t>
      </w:r>
      <w:r>
        <w:rPr/>
        <w:t>Se pose à ce propos la question déjà posée à l'examen du support précédent, concernant les outils théoriques que l'enseignant et les élèves peuvent mobiliser pour exploiter un tel document, tant qu'il reste isolé au sein du manuel.</w:t>
      </w:r>
    </w:p>
  </w:footnote>
  <w:footnote w:id="27">
    <w:p>
      <w:pPr>
        <w:pStyle w:val="Notedebasdepage"/>
        <w:ind w:left="0" w:right="0" w:hanging="0"/>
        <w:jc w:val="both"/>
        <w:rPr/>
      </w:pPr>
      <w:r>
        <w:rPr/>
        <w:footnoteRef/>
        <w:tab/>
        <w:t> </w:t>
      </w:r>
      <w:r>
        <w:rPr/>
        <w:t>Sont cités aussi Juglar, Kitchin et Kondratieff, comme dans la plupart des supports examinés, mais cela concerne la conception des cycles, et non les explications données des fluctuations.</w:t>
      </w:r>
    </w:p>
  </w:footnote>
  <w:footnote w:id="28">
    <w:p>
      <w:pPr>
        <w:pStyle w:val="Notedebasdepage"/>
        <w:ind w:left="0" w:right="0" w:hanging="0"/>
        <w:jc w:val="both"/>
        <w:rPr/>
      </w:pPr>
      <w:r>
        <w:rPr/>
        <w:footnoteRef/>
        <w:tab/>
        <w:t> </w:t>
      </w:r>
      <w:r>
        <w:rPr/>
        <w:t>Si les classiques sont ignorés, le rôle des inégalités peut faire écho au jeu de la répartition, et si les régulationnistes ne sont pas cités, il est fait référence à Aglietta et Orléan à propos des marchés financiers et de leur instabilité.</w:t>
      </w:r>
    </w:p>
  </w:footnote>
  <w:footnote w:id="29">
    <w:p>
      <w:pPr>
        <w:pStyle w:val="Notedebasdepage"/>
        <w:ind w:left="0" w:right="0" w:hanging="0"/>
        <w:jc w:val="both"/>
        <w:rPr/>
      </w:pPr>
      <w:r>
        <w:rPr/>
        <w:footnoteRef/>
        <w:tab/>
        <w:t> </w:t>
      </w:r>
      <w:r>
        <w:rPr/>
        <w:t>Même si, dans le déroulement du cours, le travail proposé amène à l'interrogation déjà posée, quant aux outils théoriques disponibles.</w:t>
      </w:r>
    </w:p>
  </w:footnote>
  <w:footnote w:id="30">
    <w:p>
      <w:pPr>
        <w:pStyle w:val="Notedebasdepage"/>
        <w:ind w:left="0" w:right="0" w:hanging="0"/>
        <w:jc w:val="both"/>
        <w:rPr/>
      </w:pPr>
      <w:r>
        <w:rPr/>
        <w:footnoteRef/>
        <w:tab/>
        <w:t> </w:t>
      </w:r>
      <w:r>
        <w:rPr/>
        <w:t>Cf. Beitone et al. (2007), page 240 en introduction aux théories du cycle.</w:t>
      </w:r>
    </w:p>
  </w:footnote>
  <w:footnote w:id="31">
    <w:p>
      <w:pPr>
        <w:pStyle w:val="Notedebasdepage"/>
        <w:ind w:left="0" w:right="0" w:hanging="0"/>
        <w:jc w:val="both"/>
        <w:rPr/>
      </w:pPr>
      <w:r>
        <w:rPr/>
        <w:footnoteRef/>
        <w:tab/>
        <w:t> </w:t>
      </w:r>
      <w:r>
        <w:rPr/>
        <w:t>Cf. ibidem à propos de la dynamique de l'innovation selon Schumpeter, qui pourtant récusait la pertinence du concept d'équilibre, ou au moins sa centralité (cf. Boyer, 2010) : « </w:t>
      </w:r>
      <w:r>
        <w:rPr>
          <w:i/>
          <w:iCs/>
        </w:rPr>
        <w:t>Le retour à l'équilibre est progressif.</w:t>
      </w:r>
      <w:r>
        <w:rPr/>
        <w:t> »</w:t>
      </w:r>
    </w:p>
  </w:footnote>
  <w:footnote w:id="32">
    <w:p>
      <w:pPr>
        <w:pStyle w:val="Notedebasdepage"/>
        <w:ind w:left="0" w:right="0" w:hanging="0"/>
        <w:jc w:val="both"/>
        <w:rPr/>
      </w:pPr>
      <w:r>
        <w:rPr/>
        <w:footnoteRef/>
        <w:tab/>
        <w:t> </w:t>
      </w:r>
      <w:r>
        <w:rPr/>
        <w:t>Cette conception ne peut intégrer de « </w:t>
      </w:r>
      <w:r>
        <w:rPr>
          <w:i/>
          <w:iCs/>
        </w:rPr>
        <w:t>crise</w:t>
      </w:r>
      <w:r>
        <w:rPr/>
        <w:t> » autre que celle provoquée par une « </w:t>
      </w:r>
      <w:r>
        <w:rPr>
          <w:i/>
          <w:iCs/>
        </w:rPr>
        <w:t>perturbation de l'équilibre</w:t>
      </w:r>
      <w:r>
        <w:rPr/>
        <w:t> », forcément venue de l'extérieur (cf. Boyer, 2010, Guerrien et Gun, 2012).</w:t>
      </w:r>
    </w:p>
  </w:footnote>
  <w:footnote w:id="33">
    <w:p>
      <w:pPr>
        <w:pStyle w:val="Notedebasdepage"/>
        <w:ind w:left="0" w:right="0" w:hanging="0"/>
        <w:jc w:val="both"/>
        <w:rPr/>
      </w:pPr>
      <w:r>
        <w:rPr/>
        <w:footnoteRef/>
        <w:tab/>
        <w:t> </w:t>
      </w:r>
      <w:r>
        <w:rPr/>
        <w:t>Cette définition paraît en effet, dans la plupart des présentations, aller de soi, ce qui précisément pose problème.</w:t>
      </w:r>
    </w:p>
  </w:footnote>
  <w:footnote w:id="34">
    <w:p>
      <w:pPr>
        <w:pStyle w:val="Notedebasdepage"/>
        <w:ind w:left="0" w:right="0" w:hanging="0"/>
        <w:jc w:val="both"/>
        <w:rPr/>
      </w:pPr>
      <w:r>
        <w:rPr/>
        <w:footnoteRef/>
        <w:tab/>
        <w:t> </w:t>
      </w:r>
      <w:r>
        <w:rPr/>
        <w:t xml:space="preserve">C'est le manuel de classe terminale des éditions Scodel. </w:t>
      </w:r>
    </w:p>
  </w:footnote>
  <w:footnote w:id="35">
    <w:p>
      <w:pPr>
        <w:pStyle w:val="Notedebasdepage"/>
        <w:ind w:left="0" w:right="0" w:hanging="0"/>
        <w:jc w:val="both"/>
        <w:rPr/>
      </w:pPr>
      <w:r>
        <w:rPr/>
        <w:footnoteRef/>
        <w:tab/>
        <w:t> </w:t>
      </w:r>
      <w:r>
        <w:rPr/>
        <w:t>La question est d'autant plus importante que ce schéma prétend expliquer n'importe quelle crise des « </w:t>
      </w:r>
      <w:r>
        <w:rPr>
          <w:i/>
          <w:iCs/>
        </w:rPr>
        <w:t>économies de marché</w:t>
      </w:r>
      <w:r>
        <w:rPr/>
        <w:t> ».</w:t>
      </w:r>
    </w:p>
  </w:footnote>
  <w:footnote w:id="36">
    <w:p>
      <w:pPr>
        <w:pStyle w:val="Notedebasdepage"/>
        <w:ind w:left="0" w:right="0" w:hanging="0"/>
        <w:jc w:val="both"/>
        <w:rPr/>
      </w:pPr>
      <w:r>
        <w:rPr/>
        <w:footnoteRef/>
        <w:tab/>
        <w:t> </w:t>
      </w:r>
      <w:r>
        <w:rPr/>
        <w:t>Dite « </w:t>
      </w:r>
      <w:r>
        <w:rPr>
          <w:i/>
          <w:iCs/>
        </w:rPr>
        <w:t>scientifique</w:t>
      </w:r>
      <w:r>
        <w:rPr/>
        <w:t> ». Dans le même ordre d'idées rappelons l'exemple du « </w:t>
      </w:r>
      <w:r>
        <w:rPr>
          <w:i/>
          <w:iCs/>
        </w:rPr>
        <w:t>fordisme</w:t>
      </w:r>
      <w:r>
        <w:rPr/>
        <w:t> », mais cet exemple paraît isolé dans l'ensemble de nos observations.</w:t>
      </w:r>
    </w:p>
  </w:footnote>
  <w:footnote w:id="37">
    <w:p>
      <w:pPr>
        <w:pStyle w:val="Notedebasdepage"/>
        <w:ind w:left="0" w:right="0" w:hanging="0"/>
        <w:jc w:val="both"/>
        <w:rPr/>
      </w:pPr>
      <w:r>
        <w:rPr/>
        <w:footnoteRef/>
        <w:tab/>
        <w:t> </w:t>
      </w:r>
      <w:r>
        <w:rPr/>
        <w:t>Le « </w:t>
      </w:r>
      <w:r>
        <w:rPr>
          <w:i/>
          <w:iCs/>
        </w:rPr>
        <w:t>choc pétrolier</w:t>
      </w:r>
      <w:r>
        <w:rPr/>
        <w:t> » fut-il le « </w:t>
      </w:r>
      <w:r>
        <w:rPr>
          <w:i/>
          <w:iCs/>
        </w:rPr>
        <w:t>choc originel</w:t>
      </w:r>
      <w:r>
        <w:rPr/>
        <w:t> » ?</w:t>
      </w:r>
    </w:p>
  </w:footnote>
  <w:footnote w:id="38">
    <w:p>
      <w:pPr>
        <w:pStyle w:val="Notedebasdepage"/>
        <w:ind w:left="0" w:right="0" w:hanging="0"/>
        <w:jc w:val="both"/>
        <w:rPr/>
      </w:pPr>
      <w:r>
        <w:rPr/>
        <w:footnoteRef/>
        <w:tab/>
        <w:t> </w:t>
      </w:r>
      <w:r>
        <w:rPr/>
        <w:t>Idée empruntée à Keynes, elle est dans la présentation dominante donnée en exemple de choc de demande. Cela s'oppose au demeurant à une autre caractéristique des « chocs » que donne un manuel : un choc « </w:t>
      </w:r>
      <w:r>
        <w:rPr>
          <w:i/>
          <w:iCs/>
        </w:rPr>
        <w:t>échappe au contrôle du gouvernement</w:t>
      </w:r>
      <w:r>
        <w:rPr/>
        <w:t> ».</w:t>
      </w:r>
    </w:p>
  </w:footnote>
  <w:footnote w:id="39">
    <w:p>
      <w:pPr>
        <w:pStyle w:val="Notedebasdepage"/>
        <w:ind w:left="0" w:right="0" w:hanging="0"/>
        <w:jc w:val="both"/>
        <w:rPr/>
      </w:pPr>
      <w:r>
        <w:rPr/>
        <w:footnoteRef/>
        <w:tab/>
        <w:t> </w:t>
      </w:r>
      <w:r>
        <w:rPr/>
        <w:t>Si l'usage du terme de choc renvoie d'abord à la macroéconomie des « nouveaux classiques », il paraît s'être imposé dans toutes les présentations théoriques standard, sur la base du modèle dit « de la synthèse ». À partir du modèle IS-LM, qui dans un cadre néo-classique a intégré des éléments d'inspiration keynésienne, on arrive à un modèle demande agrégée-offre agrégée.</w:t>
      </w:r>
    </w:p>
  </w:footnote>
  <w:footnote w:id="40">
    <w:p>
      <w:pPr>
        <w:pStyle w:val="Notedebasdepage"/>
        <w:ind w:left="0" w:right="0" w:hanging="0"/>
        <w:jc w:val="both"/>
        <w:rPr/>
      </w:pPr>
      <w:r>
        <w:rPr/>
        <w:footnoteRef/>
        <w:tab/>
        <w:t> </w:t>
      </w:r>
      <w:r>
        <w:rPr/>
        <w:t>Offre de « </w:t>
      </w:r>
      <w:r>
        <w:rPr>
          <w:i/>
          <w:iCs/>
        </w:rPr>
        <w:t>fonds prêtables</w:t>
      </w:r>
      <w:r>
        <w:rPr/>
        <w:t> ».</w:t>
      </w:r>
    </w:p>
  </w:footnote>
  <w:footnote w:id="41">
    <w:p>
      <w:pPr>
        <w:pStyle w:val="Notedebasdepage"/>
        <w:ind w:left="0" w:right="0" w:hanging="0"/>
        <w:jc w:val="both"/>
        <w:rPr/>
      </w:pPr>
      <w:r>
        <w:rPr/>
        <w:footnoteRef/>
        <w:tab/>
        <w:t> </w:t>
      </w:r>
      <w:r>
        <w:rPr/>
        <w:t>La fiche Éduscol est un bon exemple de ce genre d'explication.</w:t>
      </w:r>
    </w:p>
  </w:footnote>
  <w:footnote w:id="42">
    <w:p>
      <w:pPr>
        <w:pStyle w:val="Notedebasdepage"/>
        <w:ind w:left="0" w:right="0" w:hanging="0"/>
        <w:jc w:val="both"/>
        <w:rPr/>
      </w:pPr>
      <w:r>
        <w:rPr/>
        <w:footnoteRef/>
        <w:tab/>
        <w:t> </w:t>
      </w:r>
      <w:r>
        <w:rPr/>
        <w:t>Cf. Orléan (2016), à propos du « </w:t>
      </w:r>
      <w:r>
        <w:rPr>
          <w:i/>
          <w:iCs/>
        </w:rPr>
        <w:t>moment Minsky</w:t>
      </w:r>
      <w:r>
        <w:rPr/>
        <w:t> », ce moment où après le déclenchement de la crise actuelle des économistes néo-classiques ont à nouveau évoqué Minsky et son œuvre.</w:t>
      </w:r>
    </w:p>
  </w:footnote>
  <w:footnote w:id="43">
    <w:p>
      <w:pPr>
        <w:pStyle w:val="Notedebasdepage"/>
        <w:ind w:left="0" w:right="0" w:hanging="0"/>
        <w:jc w:val="both"/>
        <w:rPr/>
      </w:pPr>
      <w:r>
        <w:rPr/>
        <w:footnoteRef/>
        <w:tab/>
        <w:t> </w:t>
      </w:r>
      <w:r>
        <w:rPr/>
        <w:t>La référence à un « </w:t>
      </w:r>
      <w:r>
        <w:rPr>
          <w:i/>
          <w:iCs/>
        </w:rPr>
        <w:t>paradoxe</w:t>
      </w:r>
      <w:r>
        <w:rPr/>
        <w:t> » est un procédé supposé efficace pour convaincre les esprits étonnés de l'écart entre l'explication générale et les observations possibles depuis l'éclatement de la crise.</w:t>
      </w:r>
    </w:p>
  </w:footnote>
  <w:footnote w:id="44">
    <w:p>
      <w:pPr>
        <w:pStyle w:val="Notedebasdepage"/>
        <w:ind w:left="0" w:right="0" w:hanging="0"/>
        <w:jc w:val="both"/>
        <w:rPr/>
      </w:pPr>
      <w:r>
        <w:rPr/>
        <w:footnoteRef/>
        <w:tab/>
        <w:t> </w:t>
      </w:r>
      <w:r>
        <w:rPr/>
        <w:t>Cf. Boyer (2010).</w:t>
      </w:r>
    </w:p>
  </w:footnote>
  <w:footnote w:id="45">
    <w:p>
      <w:pPr>
        <w:pStyle w:val="Notedebasdepage"/>
        <w:ind w:left="0" w:right="0" w:hanging="0"/>
        <w:jc w:val="both"/>
        <w:rPr/>
      </w:pPr>
      <w:r>
        <w:rPr/>
        <w:footnoteRef/>
        <w:tab/>
        <w:t> </w:t>
      </w:r>
      <w:r>
        <w:rPr/>
        <w:t>Telles que « </w:t>
      </w:r>
      <w:r>
        <w:rPr>
          <w:i/>
          <w:iCs/>
        </w:rPr>
        <w:t>les banques</w:t>
      </w:r>
      <w:r>
        <w:rPr/>
        <w:t> », « </w:t>
      </w:r>
      <w:r>
        <w:rPr>
          <w:i/>
          <w:iCs/>
        </w:rPr>
        <w:t>les ménages</w:t>
      </w:r>
      <w:r>
        <w:rPr/>
        <w:t> », « </w:t>
      </w:r>
      <w:r>
        <w:rPr>
          <w:i/>
          <w:iCs/>
        </w:rPr>
        <w:t>les entreprises</w:t>
      </w:r>
      <w:r>
        <w:rPr/>
        <w:t> ».</w:t>
      </w:r>
    </w:p>
  </w:footnote>
  <w:footnote w:id="46">
    <w:p>
      <w:pPr>
        <w:pStyle w:val="Notedebasdepage"/>
        <w:ind w:left="0" w:right="0" w:hanging="0"/>
        <w:jc w:val="both"/>
        <w:rPr/>
      </w:pPr>
      <w:r>
        <w:rPr/>
        <w:footnoteRef/>
        <w:tab/>
        <w:t> </w:t>
      </w:r>
      <w:r>
        <w:rPr/>
        <w:t>Et ce dès les années soixante, comme l'illustre la création du marché, à Londres, des « </w:t>
      </w:r>
      <w:r>
        <w:rPr>
          <w:i/>
          <w:iCs/>
        </w:rPr>
        <w:t>eurodollars</w:t>
      </w:r>
      <w:r>
        <w:rPr/>
        <w:t> ».</w:t>
      </w:r>
    </w:p>
  </w:footnote>
  <w:footnote w:id="47">
    <w:p>
      <w:pPr>
        <w:pStyle w:val="Notedebasdepage"/>
        <w:ind w:left="0" w:right="0" w:hanging="0"/>
        <w:jc w:val="both"/>
        <w:rPr/>
      </w:pPr>
      <w:r>
        <w:rPr/>
        <w:footnoteRef/>
        <w:tab/>
        <w:t> </w:t>
      </w:r>
      <w:r>
        <w:rPr/>
        <w:t>Et celles de la gestion des banques : pour toutes les entreprises, leur valeur est déterminée sur les marchés financiers. Cf. aussi Auvray, T., Dallery, T., Rigot, S. (2015).</w:t>
      </w:r>
    </w:p>
  </w:footnote>
  <w:footnote w:id="48">
    <w:p>
      <w:pPr>
        <w:pStyle w:val="Notedebasdepage"/>
        <w:ind w:left="0" w:right="0" w:hanging="0"/>
        <w:jc w:val="both"/>
        <w:rPr/>
      </w:pPr>
      <w:r>
        <w:rPr/>
        <w:footnoteRef/>
        <w:tab/>
        <w:t> </w:t>
      </w:r>
      <w:r>
        <w:rPr/>
        <w:t>Le grand succès éditorial, y compris hors de France, de l'ouvrage de Piketty (2013), doit sans doute beaucoup à ce retour du thème des inégalités.</w:t>
      </w:r>
    </w:p>
  </w:footnote>
  <w:footnote w:id="49">
    <w:p>
      <w:pPr>
        <w:pStyle w:val="Notedebasdepage"/>
        <w:ind w:left="0" w:right="0" w:hanging="0"/>
        <w:jc w:val="both"/>
        <w:rPr/>
      </w:pPr>
      <w:r>
        <w:rPr/>
        <w:footnoteRef/>
        <w:tab/>
        <w:t> </w:t>
      </w:r>
      <w:r>
        <w:rPr/>
        <w:t xml:space="preserve">L’ouvrage de Piketty (2008), </w:t>
      </w:r>
      <w:r>
        <w:rPr>
          <w:i/>
          <w:iCs/>
        </w:rPr>
        <w:t>L'économie des inégalités</w:t>
      </w:r>
      <w:r>
        <w:rPr/>
        <w:t>, est représentatif de cette position théorique,</w:t>
      </w:r>
      <w:r>
        <w:rPr>
          <w:color w:val="000000"/>
        </w:rPr>
        <w:t xml:space="preserve"> même si par ailleurs, ce même auteur ne retient pas la différence de productivité marginale comme pouvant expliquer le niveau des inégalités (Piketty, 2013).</w:t>
      </w:r>
    </w:p>
  </w:footnote>
  <w:footnote w:id="50">
    <w:p>
      <w:pPr>
        <w:pStyle w:val="Notedebasdepage"/>
        <w:ind w:left="0" w:right="0" w:hanging="0"/>
        <w:jc w:val="both"/>
        <w:rPr/>
      </w:pPr>
      <w:r>
        <w:rPr>
          <w:lang w:val="en-GB"/>
        </w:rPr>
        <w:footnoteRef/>
        <w:tab/>
        <w:t> </w:t>
      </w:r>
      <w:r>
        <w:rPr>
          <w:lang w:val="en-GB"/>
        </w:rPr>
        <w:t xml:space="preserve">Cf. Reich, R. (2007) </w:t>
      </w:r>
      <w:r>
        <w:rPr>
          <w:i/>
          <w:iCs/>
          <w:lang w:val="en-GB"/>
        </w:rPr>
        <w:t>Supercapitalism</w:t>
      </w:r>
      <w:r>
        <w:rPr>
          <w:lang w:val="en-GB"/>
        </w:rPr>
        <w:t xml:space="preserve"> (New York, Knopf), et Krugman, P. (2007) </w:t>
      </w:r>
      <w:r>
        <w:rPr>
          <w:i/>
          <w:iCs/>
          <w:lang w:val="en-GB"/>
        </w:rPr>
        <w:t>The Conscience of a Liberal</w:t>
      </w:r>
      <w:r>
        <w:rPr>
          <w:lang w:val="en-GB"/>
        </w:rPr>
        <w:t xml:space="preserve"> (New York, Norton). </w:t>
      </w:r>
      <w:r>
        <w:rPr/>
        <w:t xml:space="preserve">Cf. aussi Maréchal, J.-P. (2008) « Paul Krugman, Robert Reich et les inégalités aux États-Unis », in </w:t>
      </w:r>
      <w:r>
        <w:rPr>
          <w:i/>
          <w:iCs/>
        </w:rPr>
        <w:t>L'économie politique</w:t>
      </w:r>
      <w:r>
        <w:rPr/>
        <w:t>, n°39.</w:t>
      </w:r>
    </w:p>
  </w:footnote>
  <w:footnote w:id="51">
    <w:p>
      <w:pPr>
        <w:pStyle w:val="Notedebasdepage"/>
        <w:ind w:left="0" w:right="0" w:hanging="0"/>
        <w:jc w:val="both"/>
        <w:rPr/>
      </w:pPr>
      <w:r>
        <w:rPr/>
        <w:footnoteRef/>
        <w:tab/>
        <w:t> </w:t>
      </w:r>
      <w:r>
        <w:rPr/>
        <w:t>D'autant plus qu'il est demandé auparavant d'établir une « </w:t>
      </w:r>
      <w:r>
        <w:rPr>
          <w:i/>
          <w:iCs/>
        </w:rPr>
        <w:t>corrélation entre crise et inégalités</w:t>
      </w:r>
      <w:r>
        <w:rPr/>
        <w:t> », ce qui suggère une méprise sur ce qu'est une corrélation, et que c'est supposer qu'il n'y a pas eu d'autre crise entre la « </w:t>
      </w:r>
      <w:r>
        <w:rPr>
          <w:i/>
          <w:iCs/>
        </w:rPr>
        <w:t>grande dépression</w:t>
      </w:r>
      <w:r>
        <w:rPr/>
        <w:t> » de 1929 – indiquée sur le graphique – et la crise actuelle. Or en 1973, par exemple, l'indicateur retenu pour mesurer les « </w:t>
      </w:r>
      <w:r>
        <w:rPr>
          <w:i/>
          <w:iCs/>
        </w:rPr>
        <w:t>inégalités</w:t>
      </w:r>
      <w:r>
        <w:rPr/>
        <w:t> » est au plus bas (8 à 9 % apparemment) ; d'ailleurs le document indique « </w:t>
      </w:r>
      <w:r>
        <w:rPr>
          <w:i/>
          <w:iCs/>
        </w:rPr>
        <w:t>1980 : 10 %</w:t>
      </w:r>
      <w:r>
        <w:rPr/>
        <w:t> », suggérant une crise en 1980.</w:t>
      </w:r>
    </w:p>
  </w:footnote>
  <w:footnote w:id="52">
    <w:p>
      <w:pPr>
        <w:pStyle w:val="Notedebasdepage"/>
        <w:ind w:left="0" w:right="0" w:hanging="0"/>
        <w:jc w:val="both"/>
        <w:rPr/>
      </w:pPr>
      <w:r>
        <w:rPr/>
        <w:footnoteRef/>
        <w:tab/>
        <w:t> </w:t>
      </w:r>
      <w:r>
        <w:rPr/>
        <w:t>« </w:t>
      </w:r>
      <w:r>
        <w:rPr>
          <w:i/>
          <w:iCs/>
        </w:rPr>
        <w:t>L'endettement croissant des ménages et la faiblesse de leur taux d'épargne, notamment aux États-Unis, est, en réalité, la contrepartie du creusement des inégalités qui s'est opéré au détriment de la plupart d'entre eux.</w:t>
      </w:r>
      <w:r>
        <w:rPr/>
        <w:t> »</w:t>
      </w:r>
    </w:p>
  </w:footnote>
  <w:footnote w:id="53">
    <w:p>
      <w:pPr>
        <w:pStyle w:val="Notedebasdepage"/>
        <w:ind w:left="0" w:right="0" w:hanging="0"/>
        <w:jc w:val="both"/>
        <w:rPr/>
      </w:pPr>
      <w:r>
        <w:rPr/>
        <w:footnoteRef/>
        <w:tab/>
        <w:t> </w:t>
      </w:r>
      <w:r>
        <w:rPr/>
        <w:t xml:space="preserve">Ce n'est pas ce qui intéresse l'auteur, ici. Sa conclusion « (…) </w:t>
      </w:r>
      <w:r>
        <w:rPr>
          <w:i/>
          <w:iCs/>
        </w:rPr>
        <w:t>reconsidérer les véritables sources de la croissance qui résident dans une certaine égalisation des revenus et des richesses, source d'une demande abondante et diversifiée, garante de l'efficacité des investissements.</w:t>
      </w:r>
      <w:r>
        <w:rPr/>
        <w:t> », se fonde implicitement sur l'idée keynésienne d'une supériorité de la propension à consommer des revenus les plus bas.</w:t>
      </w:r>
    </w:p>
  </w:footnote>
  <w:footnote w:id="54">
    <w:p>
      <w:pPr>
        <w:pStyle w:val="Notedebasdepage"/>
        <w:ind w:left="0" w:right="0" w:hanging="0"/>
        <w:jc w:val="both"/>
        <w:rPr/>
      </w:pPr>
      <w:r>
        <w:rPr/>
        <w:footnoteRef/>
        <w:tab/>
        <w:t> </w:t>
      </w:r>
      <w:r>
        <w:rPr/>
        <w:t>Un exemple d'analyse keynésienne du rôle des inégalités de revenu dans la crise est donné par Palley (2016).</w:t>
      </w:r>
    </w:p>
  </w:footnote>
  <w:footnote w:id="55">
    <w:p>
      <w:pPr>
        <w:pStyle w:val="Notedebasdepage"/>
        <w:ind w:left="0" w:right="0" w:hanging="0"/>
        <w:jc w:val="both"/>
        <w:rPr/>
      </w:pPr>
      <w:r>
        <w:rPr/>
        <w:footnoteRef/>
        <w:tab/>
        <w:t> </w:t>
      </w:r>
      <w:r>
        <w:rPr/>
        <w:t>Cf. Fitoussi, J.-P., qualifiant l'économie de « </w:t>
      </w:r>
      <w:r>
        <w:rPr>
          <w:i/>
          <w:iCs/>
        </w:rPr>
        <w:t>science des conflits</w:t>
      </w:r>
      <w:r>
        <w:rPr/>
        <w:t xml:space="preserve"> », dans un entretien avec le journal </w:t>
      </w:r>
      <w:r>
        <w:rPr>
          <w:i/>
          <w:iCs/>
        </w:rPr>
        <w:t>Libération</w:t>
      </w:r>
      <w:r>
        <w:rPr/>
        <w:t xml:space="preserve"> (2 février 2008).</w:t>
      </w:r>
    </w:p>
  </w:footnote>
  <w:footnote w:id="56">
    <w:p>
      <w:pPr>
        <w:pStyle w:val="Notedebasdepage"/>
        <w:ind w:left="0" w:right="0" w:hanging="0"/>
        <w:jc w:val="both"/>
        <w:rPr/>
      </w:pPr>
      <w:r>
        <w:rPr/>
        <w:footnoteRef/>
        <w:tab/>
        <w:t> </w:t>
      </w:r>
      <w:r>
        <w:rPr/>
        <w:t xml:space="preserve">Le site « Alter Éco plus », publication de la revue </w:t>
      </w:r>
      <w:r>
        <w:rPr>
          <w:i/>
          <w:iCs/>
        </w:rPr>
        <w:t>Alternatives Économiques</w:t>
      </w:r>
      <w:r>
        <w:rPr/>
        <w:t>, affiche ainsi un éditorial de Christian Chavagneux, fin 2014, qui proclame « Les inégalités : thème économique de l'année ». http://www.alterecoplus.fr/chronique/christian-chavagneux/les-inegalites-le-theme-economique-de-lannee-201412260800-00000458.html</w:t>
      </w:r>
    </w:p>
  </w:footnote>
  <w:footnote w:id="57">
    <w:p>
      <w:pPr>
        <w:pStyle w:val="Notedebasdepage"/>
        <w:ind w:left="0" w:right="0" w:hanging="0"/>
        <w:jc w:val="both"/>
        <w:rPr/>
      </w:pPr>
      <w:r>
        <w:rPr/>
        <w:footnoteRef/>
        <w:tab/>
        <w:t> </w:t>
      </w:r>
      <w:r>
        <w:rPr/>
        <w:t>Qu'il s'agisse de mesurer la dispersion des revenus ou celle des patrimoines.</w:t>
      </w:r>
    </w:p>
  </w:footnote>
  <w:footnote w:id="58">
    <w:p>
      <w:pPr>
        <w:pStyle w:val="Notedebasdepage"/>
        <w:ind w:left="0" w:right="0" w:hanging="0"/>
        <w:jc w:val="both"/>
        <w:rPr/>
      </w:pPr>
      <w:r>
        <w:rPr/>
        <w:footnoteRef/>
        <w:tab/>
        <w:t> </w:t>
      </w:r>
      <w:r>
        <w:rPr/>
        <w:t>Une recherche spécifique sur les discours tenus dans les médias, en particulier par les responsables politiques et les représentants du « monde des affaires », amènerait sans doute à confirmer, par exemple, l'infléchissement de l'argumentation destinée à justifier les écarts de rémunération. Nous pensons simplement à l'exemple des responsables du MEDEF, en France, passés comme Laurence Parisot de l'apologie du talent des dirigeants à l'excuse de la mondialisation : si ces dirigeants ne touchent pas, en France, autant qu'ailleurs, ils partiront.</w:t>
      </w:r>
    </w:p>
  </w:footnote>
  <w:footnote w:id="59">
    <w:p>
      <w:pPr>
        <w:pStyle w:val="Notedebasdepage"/>
        <w:rPr/>
      </w:pPr>
      <w:r>
        <w:rPr/>
        <w:footnoteRef/>
        <w:tab/>
      </w:r>
      <w:r>
        <w:rPr/>
        <w:t>Menée d'une part en soumettant un questionnaire en ligne et d'autre part sous forme d'entretiens individuels, cette enquête a rassemblé les réponses de plus de 160 enseignants de SES. Cf. Blanchard et Coléno (2016).</w:t>
      </w:r>
    </w:p>
  </w:footnote>
  <w:footnote w:id="60">
    <w:p>
      <w:pPr>
        <w:pStyle w:val="Notedebasdepage"/>
        <w:ind w:left="0" w:right="0" w:hanging="0"/>
        <w:jc w:val="both"/>
        <w:rPr/>
      </w:pPr>
      <w:r>
        <w:rPr/>
        <w:footnoteRef/>
        <w:tab/>
        <w:t> </w:t>
      </w:r>
      <w:r>
        <w:rPr/>
        <w:t>Les réponses contenant « </w:t>
      </w:r>
      <w:r>
        <w:rPr>
          <w:i/>
          <w:iCs/>
        </w:rPr>
        <w:t>acteurs</w:t>
      </w:r>
      <w:r>
        <w:rPr/>
        <w:t> » représentent 34 %, étant entendu que de nombreuses réponses contiennent plusieurs termes.</w:t>
      </w:r>
    </w:p>
  </w:footnote>
  <w:footnote w:id="61">
    <w:p>
      <w:pPr>
        <w:pStyle w:val="Notedebasdepage"/>
        <w:ind w:left="0" w:right="0" w:hanging="0"/>
        <w:jc w:val="both"/>
        <w:rPr/>
      </w:pPr>
      <w:r>
        <w:rPr/>
        <w:footnoteRef/>
        <w:tab/>
        <w:t> </w:t>
      </w:r>
      <w:r>
        <w:rPr/>
        <w:t>Ont été retenues les réponses contenant au moins « </w:t>
      </w:r>
      <w:r>
        <w:rPr>
          <w:i/>
          <w:iCs/>
        </w:rPr>
        <w:t>classes </w:t>
      </w:r>
      <w:r>
        <w:rPr/>
        <w:t>» et ne contenant pas « </w:t>
      </w:r>
      <w:r>
        <w:rPr>
          <w:i/>
          <w:iCs/>
        </w:rPr>
        <w:t>individus </w:t>
      </w:r>
      <w:r>
        <w:rPr/>
        <w:t>».</w:t>
      </w:r>
    </w:p>
  </w:footnote>
  <w:footnote w:id="62">
    <w:p>
      <w:pPr>
        <w:pStyle w:val="Notedebasdepage"/>
        <w:ind w:left="0" w:right="0" w:hanging="0"/>
        <w:jc w:val="both"/>
        <w:rPr/>
      </w:pPr>
      <w:r>
        <w:rPr/>
        <w:footnoteRef/>
        <w:tab/>
        <w:t> </w:t>
      </w:r>
      <w:r>
        <w:rPr/>
        <w:t>Un enseignant qui a, par exemple, répondu exclusivement « </w:t>
      </w:r>
      <w:r>
        <w:rPr>
          <w:i/>
          <w:iCs/>
        </w:rPr>
        <w:t>classes</w:t>
      </w:r>
      <w:r>
        <w:rPr/>
        <w:t> » à la question évoquée, a sélectionné précédemment « </w:t>
      </w:r>
      <w:r>
        <w:rPr>
          <w:i/>
          <w:iCs/>
        </w:rPr>
        <w:t>rareté</w:t>
      </w:r>
      <w:r>
        <w:rPr/>
        <w:t> » et « </w:t>
      </w:r>
      <w:r>
        <w:rPr>
          <w:i/>
          <w:iCs/>
        </w:rPr>
        <w:t>choix</w:t>
      </w:r>
      <w:r>
        <w:rPr/>
        <w:t> » comme concepts-clés.</w:t>
      </w:r>
    </w:p>
  </w:footnote>
  <w:footnote w:id="63">
    <w:p>
      <w:pPr>
        <w:pStyle w:val="Notedebasdepage"/>
        <w:ind w:left="0" w:right="0" w:hanging="0"/>
        <w:jc w:val="both"/>
        <w:rPr/>
      </w:pPr>
      <w:r>
        <w:rPr/>
        <w:footnoteRef/>
        <w:tab/>
        <w:t> </w:t>
      </w:r>
      <w:r>
        <w:rPr/>
        <w:t>L'acception du terme peut être nominaliste, et exclure toute idée d'intérêt de classe, de logique de classe et, a fortiori, de conflit de classes.</w:t>
      </w:r>
    </w:p>
  </w:footnote>
  <w:footnote w:id="64">
    <w:p>
      <w:pPr>
        <w:pStyle w:val="Notedebasdepage"/>
        <w:ind w:left="0" w:right="0" w:hanging="0"/>
        <w:jc w:val="both"/>
        <w:rPr/>
      </w:pPr>
      <w:r>
        <w:rPr/>
        <w:footnoteRef/>
        <w:tab/>
        <w:t> </w:t>
      </w:r>
      <w:r>
        <w:rPr/>
        <w:t>Cf. page 177.</w:t>
      </w:r>
    </w:p>
  </w:footnote>
  <w:footnote w:id="65">
    <w:p>
      <w:pPr>
        <w:pStyle w:val="Notedebasdepage"/>
        <w:ind w:left="0" w:right="0" w:hanging="0"/>
        <w:jc w:val="both"/>
        <w:rPr/>
      </w:pPr>
      <w:r>
        <w:rPr/>
        <w:footnoteRef/>
        <w:tab/>
        <w:t> </w:t>
      </w:r>
      <w:r>
        <w:rPr/>
        <w:t>Cf. page 294.</w:t>
      </w:r>
    </w:p>
  </w:footnote>
  <w:footnote w:id="66">
    <w:p>
      <w:pPr>
        <w:pStyle w:val="Notedebasdepage"/>
        <w:ind w:left="0" w:right="0" w:hanging="0"/>
        <w:jc w:val="both"/>
        <w:rPr/>
      </w:pPr>
      <w:r>
        <w:rPr/>
        <w:footnoteRef/>
        <w:tab/>
        <w:t> </w:t>
      </w:r>
      <w:r>
        <w:rPr/>
        <w:t>Seul découpage visible, celui en catégories sociales se donne à voir comme un classement. D'où, entre autres, la confusion sur la formule « </w:t>
      </w:r>
      <w:r>
        <w:rPr>
          <w:i/>
          <w:iCs/>
        </w:rPr>
        <w:t>rapports sociaux</w:t>
      </w:r>
      <w:r>
        <w:rPr/>
        <w:t> », qui perd sa cohérence en étant séparée de sa matrice marxiste, comme le confirment certaines réponses à notre enquête. D'où aussi, probablement, la difficulté des manuels de SES à dépasser, pour traiter des « </w:t>
      </w:r>
      <w:r>
        <w:rPr>
          <w:i/>
          <w:iCs/>
        </w:rPr>
        <w:t>inégalités</w:t>
      </w:r>
      <w:r>
        <w:rPr/>
        <w:t> » - dans la partie sociologique, par force – la comparaison entre « </w:t>
      </w:r>
      <w:r>
        <w:rPr>
          <w:i/>
          <w:iCs/>
        </w:rPr>
        <w:t>cadres et professions intellectuelles supérieures</w:t>
      </w:r>
      <w:r>
        <w:rPr/>
        <w:t> » et « </w:t>
      </w:r>
      <w:r>
        <w:rPr>
          <w:i/>
          <w:iCs/>
        </w:rPr>
        <w:t>ouvriers</w:t>
      </w:r>
      <w:r>
        <w:rPr/>
        <w:t> », catégories posées comme pôles du classement donné à voir comme si, ne serait-ce qu'au niveau de ce découpage visible, il ne s'était rien passé depuis quarante ans.</w:t>
      </w:r>
    </w:p>
  </w:footnote>
  <w:footnote w:id="67">
    <w:p>
      <w:pPr>
        <w:pStyle w:val="Notedebasdepage"/>
        <w:ind w:left="0" w:right="0" w:hanging="0"/>
        <w:jc w:val="both"/>
        <w:rPr/>
      </w:pPr>
      <w:r>
        <w:rPr/>
        <w:footnoteRef/>
        <w:tab/>
        <w:t> </w:t>
      </w:r>
      <w:r>
        <w:rPr/>
        <w:t>Rappelons que le « </w:t>
      </w:r>
      <w:r>
        <w:rPr>
          <w:i/>
          <w:iCs/>
        </w:rPr>
        <w:t>livre du professeur</w:t>
      </w:r>
      <w:r>
        <w:rPr/>
        <w:t> » qui accompagne ce manuel (Belin, 2012, page 8) évoque, en réponse aux questions posées aux élèves, « </w:t>
      </w:r>
      <w:r>
        <w:rPr>
          <w:i/>
          <w:iCs/>
        </w:rPr>
        <w:t>l'épargne des capitalistes</w:t>
      </w:r>
      <w:r>
        <w:rPr/>
        <w:t> » à la suite de Malthus et Sismondi, la « </w:t>
      </w:r>
      <w:r>
        <w:rPr>
          <w:i/>
          <w:iCs/>
        </w:rPr>
        <w:t>sous-consommation ouvrière</w:t>
      </w:r>
      <w:r>
        <w:rPr/>
        <w:t> » selon Marx. Mais cela ne concerne que les « </w:t>
      </w:r>
      <w:r>
        <w:rPr>
          <w:i/>
          <w:iCs/>
        </w:rPr>
        <w:t>polémiques </w:t>
      </w:r>
      <w:r>
        <w:rPr/>
        <w:t>» à l'époque des premiers classiques.</w:t>
      </w:r>
    </w:p>
  </w:footnote>
  <w:footnote w:id="68">
    <w:p>
      <w:pPr>
        <w:pStyle w:val="Notedebasdepage"/>
        <w:ind w:left="0" w:right="0" w:hanging="0"/>
        <w:jc w:val="both"/>
        <w:rPr/>
      </w:pPr>
      <w:r>
        <w:rPr/>
        <w:footnoteRef/>
        <w:tab/>
      </w:r>
      <w:r>
        <w:rPr/>
        <w:t>Il n'est d'ailleurs pas souvent question d'inégalités de revenus, mais plus souvent d'inégalités de salaires, en y incluant les rémunérations des dirigeants des grandes entreprises et autres groupes financiers. Tous salariés, alors ?</w:t>
      </w:r>
    </w:p>
  </w:footnote>
  <w:footnote w:id="69">
    <w:p>
      <w:pPr>
        <w:pStyle w:val="Notedebasdepage"/>
        <w:ind w:left="0" w:right="0" w:hanging="0"/>
        <w:jc w:val="both"/>
        <w:rPr/>
      </w:pPr>
      <w:r>
        <w:rPr/>
        <w:footnoteRef/>
        <w:tab/>
      </w:r>
      <w:r>
        <w:rPr/>
        <w:t>À noter au passage qu'à partir de 1994 l'étude de la dynamique économique fait référence à la notion-clé de « </w:t>
      </w:r>
      <w:r>
        <w:rPr>
          <w:i/>
          <w:iCs/>
        </w:rPr>
        <w:t>déséquilibres</w:t>
      </w:r>
      <w:r>
        <w:rPr/>
        <w:t> ».</w:t>
      </w:r>
    </w:p>
  </w:footnote>
  <w:footnote w:id="70">
    <w:p>
      <w:pPr>
        <w:pStyle w:val="Notedebasdepage"/>
        <w:ind w:left="0" w:right="0" w:hanging="0"/>
        <w:jc w:val="both"/>
        <w:rPr/>
      </w:pPr>
      <w:r>
        <w:rPr/>
        <w:footnoteRef/>
        <w:tab/>
      </w:r>
      <w:r>
        <w:rPr/>
        <w:t>Par un effet de lexique inattendu, d'ailleurs, le terme « </w:t>
      </w:r>
      <w:r>
        <w:rPr>
          <w:i/>
          <w:iCs/>
        </w:rPr>
        <w:t>fordisme</w:t>
      </w:r>
      <w:r>
        <w:rPr/>
        <w:t> » réapparaît entièrement séparé de sa matrice théorique originelle, pour désigner un « </w:t>
      </w:r>
      <w:r>
        <w:rPr>
          <w:i/>
          <w:iCs/>
        </w:rPr>
        <w:t>fait</w:t>
      </w:r>
      <w:r>
        <w:rPr/>
        <w:t> », une réalité indiscutable, à analyser bien sûr dans les termes du modèle standard.</w:t>
      </w:r>
    </w:p>
  </w:footnote>
  <w:footnote w:id="71">
    <w:p>
      <w:pPr>
        <w:pStyle w:val="Notedebasdepage"/>
        <w:ind w:left="0" w:right="0" w:hanging="0"/>
        <w:jc w:val="both"/>
        <w:rPr/>
      </w:pPr>
      <w:r>
        <w:rPr/>
        <w:footnoteRef/>
        <w:tab/>
      </w:r>
      <w:r>
        <w:rPr/>
        <w:t>Cf. à ce sujet Halbwachs (1950, édition posthume), et Coléno (2005, pages 211 à 214).</w:t>
      </w:r>
    </w:p>
  </w:footnote>
  <w:footnote w:id="72">
    <w:p>
      <w:pPr>
        <w:pStyle w:val="Notedebasdepage"/>
        <w:ind w:left="0" w:right="0" w:hanging="0"/>
        <w:jc w:val="both"/>
        <w:rPr/>
      </w:pPr>
      <w:r>
        <w:rPr/>
        <w:footnoteRef/>
        <w:tab/>
      </w:r>
      <w:r>
        <w:rPr/>
        <w:t>Un enseignant nous a dit par exemple, dans un entretien, « </w:t>
      </w:r>
      <w:r>
        <w:rPr>
          <w:i/>
          <w:iCs/>
        </w:rPr>
        <w:t>avoir pris de la distance vis-à-vis de la vague libérale des</w:t>
      </w:r>
      <w:r>
        <w:rPr/>
        <w:t xml:space="preserve"> </w:t>
      </w:r>
      <w:r>
        <w:rPr>
          <w:i/>
          <w:iCs/>
        </w:rPr>
        <w:t>années quatre-vingts</w:t>
      </w:r>
      <w:r>
        <w:rPr/>
        <w:t> », où « </w:t>
      </w:r>
      <w:r>
        <w:rPr>
          <w:i/>
          <w:iCs/>
        </w:rPr>
        <w:t>la remise en cause de l'action de l'État était alors plus forte qu'aujourd'hui</w:t>
      </w:r>
      <w:r>
        <w:rPr/>
        <w:t> ». Il a d'ailleurs nuancé sa description du contexte de sa formation initiale à l'université, en indiquant avoir eu un enseignant marxiste et un autre keynésien (au tournant de 1990).</w:t>
      </w:r>
    </w:p>
  </w:footnote>
  <w:footnote w:id="73">
    <w:p>
      <w:pPr>
        <w:pStyle w:val="Notedebasdepage"/>
        <w:ind w:left="0" w:right="0" w:hanging="0"/>
        <w:jc w:val="both"/>
        <w:rPr/>
      </w:pPr>
      <w:r>
        <w:rPr/>
        <w:footnoteRef/>
        <w:tab/>
      </w:r>
      <w:r>
        <w:rPr/>
        <w:t>La croyance en la régulation par les marchés, associée à la dénonciation des « </w:t>
      </w:r>
      <w:r>
        <w:rPr>
          <w:i/>
          <w:iCs/>
        </w:rPr>
        <w:t>excès</w:t>
      </w:r>
      <w:r>
        <w:rPr/>
        <w:t> » de la finance, pourrait faire des « </w:t>
      </w:r>
      <w:r>
        <w:rPr>
          <w:i/>
          <w:iCs/>
        </w:rPr>
        <w:t>financiers</w:t>
      </w:r>
      <w:r>
        <w:rPr/>
        <w:t> » un groupe d'individus « </w:t>
      </w:r>
      <w:r>
        <w:rPr>
          <w:i/>
          <w:iCs/>
        </w:rPr>
        <w:t>non-vertueux</w:t>
      </w:r>
      <w:r>
        <w:rPr/>
        <w:t> », et conduire à la « solution » de leur mise hors d'état de « nuire » à la communauté des vertueux – partageant une même idée du bien -, dans une perspective de justice communautarienne.</w:t>
      </w:r>
    </w:p>
  </w:footnote>
  <w:footnote w:id="74">
    <w:p>
      <w:pPr>
        <w:pStyle w:val="Notedebasdepage"/>
        <w:rPr/>
      </w:pPr>
      <w:r>
        <w:rPr/>
        <w:footnoteRef/>
        <w:tab/>
      </w:r>
      <w:r>
        <w:rPr/>
        <w:t>Idée partagée par les Saint-Simoniens (cf. Solans, 2008, page 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MS Mincho"/>
      </w:rPr>
    </w:lvl>
    <w:lvl w:ilvl="1">
      <w:start w:val="1"/>
      <w:numFmt w:val="bullet"/>
      <w:lvlText w:val=""/>
      <w:lvlJc w:val="left"/>
      <w:pPr>
        <w:tabs>
          <w:tab w:val="num" w:pos="1080"/>
        </w:tabs>
        <w:ind w:left="1080" w:hanging="360"/>
      </w:pPr>
      <w:rPr>
        <w:rFonts w:ascii="Wingdings" w:hAnsi="Wingdings" w:cs="Wingdings" w:hint="default"/>
        <w:rFonts w:cs="OpenSymbol;MS Mincho"/>
      </w:rPr>
    </w:lvl>
    <w:lvl w:ilvl="2">
      <w:start w:val="1"/>
      <w:numFmt w:val="bullet"/>
      <w:lvlText w:val=""/>
      <w:lvlJc w:val="left"/>
      <w:pPr>
        <w:tabs>
          <w:tab w:val="num" w:pos="1440"/>
        </w:tabs>
        <w:ind w:left="1440" w:hanging="360"/>
      </w:pPr>
      <w:rPr>
        <w:rFonts w:ascii="Wingdings" w:hAnsi="Wingdings" w:cs="Wingdings" w:hint="default"/>
        <w:rFonts w:cs="OpenSymbol;MS Mincho"/>
      </w:rPr>
    </w:lvl>
    <w:lvl w:ilvl="3">
      <w:start w:val="1"/>
      <w:numFmt w:val="bullet"/>
      <w:lvlText w:val=""/>
      <w:lvlJc w:val="left"/>
      <w:pPr>
        <w:tabs>
          <w:tab w:val="num" w:pos="1800"/>
        </w:tabs>
        <w:ind w:left="1800" w:hanging="360"/>
      </w:pPr>
      <w:rPr>
        <w:rFonts w:ascii="Wingdings" w:hAnsi="Wingdings" w:cs="Wingdings" w:hint="default"/>
        <w:rFonts w:cs="OpenSymbol;MS Mincho"/>
      </w:rPr>
    </w:lvl>
    <w:lvl w:ilvl="4">
      <w:start w:val="1"/>
      <w:numFmt w:val="bullet"/>
      <w:lvlText w:val=""/>
      <w:lvlJc w:val="left"/>
      <w:pPr>
        <w:tabs>
          <w:tab w:val="num" w:pos="2160"/>
        </w:tabs>
        <w:ind w:left="2160" w:hanging="360"/>
      </w:pPr>
      <w:rPr>
        <w:rFonts w:ascii="Wingdings" w:hAnsi="Wingdings" w:cs="Wingdings" w:hint="default"/>
        <w:rFonts w:cs="OpenSymbol;MS Mincho"/>
      </w:rPr>
    </w:lvl>
    <w:lvl w:ilvl="5">
      <w:start w:val="1"/>
      <w:numFmt w:val="bullet"/>
      <w:lvlText w:val=""/>
      <w:lvlJc w:val="left"/>
      <w:pPr>
        <w:tabs>
          <w:tab w:val="num" w:pos="2520"/>
        </w:tabs>
        <w:ind w:left="2520" w:hanging="360"/>
      </w:pPr>
      <w:rPr>
        <w:rFonts w:ascii="Wingdings" w:hAnsi="Wingdings" w:cs="Wingdings" w:hint="default"/>
        <w:rFonts w:cs="OpenSymbol;MS Mincho"/>
      </w:rPr>
    </w:lvl>
    <w:lvl w:ilvl="6">
      <w:start w:val="1"/>
      <w:numFmt w:val="bullet"/>
      <w:lvlText w:val=""/>
      <w:lvlJc w:val="left"/>
      <w:pPr>
        <w:tabs>
          <w:tab w:val="num" w:pos="2880"/>
        </w:tabs>
        <w:ind w:left="2880" w:hanging="360"/>
      </w:pPr>
      <w:rPr>
        <w:rFonts w:ascii="Wingdings" w:hAnsi="Wingdings" w:cs="Wingdings" w:hint="default"/>
        <w:rFonts w:cs="OpenSymbol;MS Mincho"/>
      </w:rPr>
    </w:lvl>
    <w:lvl w:ilvl="7">
      <w:start w:val="1"/>
      <w:numFmt w:val="bullet"/>
      <w:lvlText w:val=""/>
      <w:lvlJc w:val="left"/>
      <w:pPr>
        <w:tabs>
          <w:tab w:val="num" w:pos="3240"/>
        </w:tabs>
        <w:ind w:left="3240" w:hanging="360"/>
      </w:pPr>
      <w:rPr>
        <w:rFonts w:ascii="Wingdings" w:hAnsi="Wingdings" w:cs="Wingdings" w:hint="default"/>
        <w:rFonts w:cs="OpenSymbol;MS Mincho"/>
      </w:rPr>
    </w:lvl>
    <w:lvl w:ilvl="8">
      <w:start w:val="1"/>
      <w:numFmt w:val="bullet"/>
      <w:lvlText w:val=""/>
      <w:lvlJc w:val="left"/>
      <w:pPr>
        <w:tabs>
          <w:tab w:val="num" w:pos="3600"/>
        </w:tabs>
        <w:ind w:left="3600" w:hanging="360"/>
      </w:pPr>
      <w:rPr>
        <w:rFonts w:ascii="Wingdings" w:hAnsi="Wingdings" w:cs="Wingdings" w:hint="default"/>
        <w:rFonts w:cs="OpenSymbol;MS Mincho"/>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5"/>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 w:val="20"/>
        <w:szCs w:val="24"/>
        <w:lang w:val="fr-F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WenQuanYi Micro Hei;MS Mincho" w:cs="Lohit Hindi"/>
      <w:color w:val="00000A"/>
      <w:sz w:val="24"/>
      <w:szCs w:val="24"/>
      <w:lang w:val="fr-FR" w:eastAsia="zh-CN" w:bidi="hi-IN"/>
    </w:rPr>
  </w:style>
  <w:style w:type="paragraph" w:styleId="Titre1">
    <w:name w:val="Heading 1"/>
    <w:basedOn w:val="Titre"/>
    <w:qFormat/>
    <w:pPr>
      <w:widowControl w:val="false"/>
      <w:bidi w:val="0"/>
      <w:spacing w:before="0" w:after="0"/>
      <w:ind w:left="0" w:right="0" w:hanging="0"/>
      <w:jc w:val="left"/>
    </w:pPr>
    <w:rPr>
      <w:rFonts w:ascii="Times New Roman" w:hAnsi="Times New Roman" w:eastAsia="WenQuanYi Micro Hei;MS Mincho" w:cs="Lohit Hindi"/>
      <w:b/>
      <w:bCs/>
      <w:color w:val="00000A"/>
      <w:sz w:val="48"/>
      <w:szCs w:val="48"/>
      <w:lang w:val="fr-FR" w:eastAsia="zh-CN" w:bidi="hi-IN"/>
    </w:rPr>
  </w:style>
  <w:style w:type="character" w:styleId="WW8Num2z0">
    <w:name w:val="WW8Num2z0"/>
    <w:qFormat/>
    <w:rPr>
      <w:rFonts w:ascii="Wingdings" w:hAnsi="Wingdings" w:cs="OpenSymbol;MS Mincho"/>
    </w:rPr>
  </w:style>
  <w:style w:type="character" w:styleId="WW8Num3z0">
    <w:name w:val="WW8Num3z0"/>
    <w:qFormat/>
    <w:rPr>
      <w:rFonts w:ascii="Wingdings" w:hAnsi="Wingdings" w:cs="OpenSymbol;MS Mincho"/>
    </w:rPr>
  </w:style>
  <w:style w:type="character" w:styleId="WW8Num4z0">
    <w:name w:val="WW8Num4z0"/>
    <w:qFormat/>
    <w:rPr>
      <w:rFonts w:ascii="Wingdings" w:hAnsi="Wingdings" w:cs="OpenSymbol;MS Mincho"/>
    </w:rPr>
  </w:style>
  <w:style w:type="character" w:styleId="WW8Num5z0">
    <w:name w:val="WW8Num5z0"/>
    <w:qFormat/>
    <w:rPr>
      <w:rFonts w:ascii="Wingdings" w:hAnsi="Wingdings" w:cs="OpenSymbol;MS Mincho"/>
    </w:rPr>
  </w:style>
  <w:style w:type="character" w:styleId="WW8Num6z0">
    <w:name w:val="WW8Num6z0"/>
    <w:qFormat/>
    <w:rPr>
      <w:rFonts w:ascii="Wingdings" w:hAnsi="Wingdings" w:cs="OpenSymbol;MS Mincho"/>
    </w:rPr>
  </w:style>
  <w:style w:type="character" w:styleId="WW8Num7z0">
    <w:name w:val="WW8Num7z0"/>
    <w:qFormat/>
    <w:rPr>
      <w:rFonts w:ascii="Wingdings" w:hAnsi="Wingdings" w:cs="OpenSymbol;MS Mincho"/>
    </w:rPr>
  </w:style>
  <w:style w:type="character" w:styleId="Policepardfaut">
    <w:name w:val="Police par défaut"/>
    <w:qFormat/>
    <w:rPr/>
  </w:style>
  <w:style w:type="character" w:styleId="WW8Num1z0">
    <w:name w:val="WW8Num1z0"/>
    <w:qFormat/>
    <w:rPr>
      <w:rFonts w:ascii="Wingdings" w:hAnsi="Wingdings" w:cs="OpenSymbol;MS Mincho"/>
    </w:rPr>
  </w:style>
  <w:style w:type="character" w:styleId="AbsatzStandardschriftart">
    <w:name w:val="Absatz-Standardschriftart"/>
    <w:qFormat/>
    <w:rPr/>
  </w:style>
  <w:style w:type="character" w:styleId="WWAbsatzStandardschriftart">
    <w:name w:val="WW-Absatz-Standardschriftart"/>
    <w:qFormat/>
    <w:rPr/>
  </w:style>
  <w:style w:type="character" w:styleId="Caractresdenotedebasdepage">
    <w:name w:val="Caractères de note de bas de page"/>
    <w:qFormat/>
    <w:rPr/>
  </w:style>
  <w:style w:type="character" w:styleId="Appelnotedebasdep">
    <w:name w:val="Appel note de bas de p."/>
    <w:qFormat/>
    <w:rPr>
      <w:vertAlign w:val="superscript"/>
    </w:rPr>
  </w:style>
  <w:style w:type="character" w:styleId="Puces">
    <w:name w:val="Puces"/>
    <w:qFormat/>
    <w:rPr>
      <w:rFonts w:ascii="OpenSymbol;MS Mincho" w:hAnsi="OpenSymbol;MS Mincho" w:eastAsia="OpenSymbol;MS Mincho" w:cs="OpenSymbol;MS Mincho"/>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character" w:styleId="Accentuation">
    <w:name w:val="Accentuation"/>
    <w:qFormat/>
    <w:rPr>
      <w:i/>
      <w:iCs/>
    </w:rPr>
  </w:style>
  <w:style w:type="character" w:styleId="Appelnotedebasdep3">
    <w:name w:val="Appel note de bas de p.3"/>
    <w:qFormat/>
    <w:rPr>
      <w:vertAlign w:val="superscript"/>
    </w:rPr>
  </w:style>
  <w:style w:type="character" w:styleId="Appelnotedebasdep1">
    <w:name w:val="Appel note de bas de p.1"/>
    <w:qFormat/>
    <w:rPr>
      <w:vertAlign w:val="superscript"/>
    </w:rPr>
  </w:style>
  <w:style w:type="character" w:styleId="Appelnotedebasdep2">
    <w:name w:val="Appel note de bas de p.2"/>
    <w:qFormat/>
    <w:rPr>
      <w:vertAlign w:val="superscript"/>
    </w:rPr>
  </w:style>
  <w:style w:type="character" w:styleId="Caractresdenumrotation">
    <w:name w:val="Caractères de numérotation"/>
    <w:qFormat/>
    <w:rPr/>
  </w:style>
  <w:style w:type="character" w:styleId="LienInternet">
    <w:name w:val="Lien Internet"/>
    <w:rPr>
      <w:color w:val="000080"/>
      <w:u w:val="single"/>
      <w:lang w:val="zxx" w:bidi="zxx"/>
    </w:rPr>
  </w:style>
  <w:style w:type="character" w:styleId="Marquedecommentaire">
    <w:name w:val="Marque de commentaire"/>
    <w:basedOn w:val="Policepardfaut"/>
    <w:qFormat/>
    <w:rPr>
      <w:sz w:val="16"/>
      <w:szCs w:val="16"/>
    </w:rPr>
  </w:style>
  <w:style w:type="character" w:styleId="Ancredenotedebasdepage">
    <w:name w:val="Ancre de note de bas de page"/>
    <w:rPr>
      <w:vertAlign w:val="superscript"/>
    </w:rPr>
  </w:style>
  <w:style w:type="character" w:styleId="Accentuationforte">
    <w:name w:val="Accentuation forte"/>
    <w:qFormat/>
    <w:rPr>
      <w:b/>
      <w:bCs/>
    </w:rPr>
  </w:style>
  <w:style w:type="character" w:styleId="ListLabel1">
    <w:name w:val="ListLabel 1"/>
    <w:qFormat/>
    <w:rPr>
      <w:rFonts w:cs="OpenSymbol;MS Mincho"/>
    </w:rPr>
  </w:style>
  <w:style w:type="character" w:styleId="ListLabel2">
    <w:name w:val="ListLabel 2"/>
    <w:qFormat/>
    <w:rPr>
      <w:rFonts w:cs="OpenSymbol;MS Mincho"/>
    </w:rPr>
  </w:style>
  <w:style w:type="character" w:styleId="ListLabel3">
    <w:name w:val="ListLabel 3"/>
    <w:qFormat/>
    <w:rPr>
      <w:rFonts w:cs="OpenSymbol;MS Mincho"/>
    </w:rPr>
  </w:style>
  <w:style w:type="character" w:styleId="ListLabel4">
    <w:name w:val="ListLabel 4"/>
    <w:qFormat/>
    <w:rPr>
      <w:rFonts w:cs="OpenSymbol;MS Mincho"/>
    </w:rPr>
  </w:style>
  <w:style w:type="character" w:styleId="ListLabel5">
    <w:name w:val="ListLabel 5"/>
    <w:qFormat/>
    <w:rPr>
      <w:rFonts w:cs="OpenSymbol;MS Mincho"/>
    </w:rPr>
  </w:style>
  <w:style w:type="character" w:styleId="ListLabel6">
    <w:name w:val="ListLabel 6"/>
    <w:qFormat/>
    <w:rPr>
      <w:rFonts w:cs="OpenSymbol;MS Mincho"/>
    </w:rPr>
  </w:style>
  <w:style w:type="character" w:styleId="ListLabel7">
    <w:name w:val="ListLabel 7"/>
    <w:qFormat/>
    <w:rPr>
      <w:rFonts w:cs="OpenSymbol;MS Mincho"/>
    </w:rPr>
  </w:style>
  <w:style w:type="character" w:styleId="ListLabel8">
    <w:name w:val="ListLabel 8"/>
    <w:qFormat/>
    <w:rPr>
      <w:rFonts w:cs="OpenSymbol;MS Mincho"/>
    </w:rPr>
  </w:style>
  <w:style w:type="character" w:styleId="ListLabel9">
    <w:name w:val="ListLabel 9"/>
    <w:qFormat/>
    <w:rPr>
      <w:rFonts w:cs="OpenSymbol;MS Mincho"/>
    </w:rPr>
  </w:style>
  <w:style w:type="character" w:styleId="ListLabel10">
    <w:name w:val="ListLabel 10"/>
    <w:qFormat/>
    <w:rPr>
      <w:rFonts w:cs="OpenSymbol;MS Mincho"/>
    </w:rPr>
  </w:style>
  <w:style w:type="character" w:styleId="ListLabel11">
    <w:name w:val="ListLabel 11"/>
    <w:qFormat/>
    <w:rPr>
      <w:rFonts w:cs="OpenSymbol;MS Mincho"/>
    </w:rPr>
  </w:style>
  <w:style w:type="character" w:styleId="ListLabel12">
    <w:name w:val="ListLabel 12"/>
    <w:qFormat/>
    <w:rPr>
      <w:rFonts w:cs="OpenSymbol;MS Mincho"/>
    </w:rPr>
  </w:style>
  <w:style w:type="character" w:styleId="ListLabel13">
    <w:name w:val="ListLabel 13"/>
    <w:qFormat/>
    <w:rPr>
      <w:rFonts w:cs="OpenSymbol;MS Mincho"/>
    </w:rPr>
  </w:style>
  <w:style w:type="character" w:styleId="ListLabel14">
    <w:name w:val="ListLabel 14"/>
    <w:qFormat/>
    <w:rPr>
      <w:rFonts w:cs="OpenSymbol;MS Mincho"/>
    </w:rPr>
  </w:style>
  <w:style w:type="character" w:styleId="ListLabel15">
    <w:name w:val="ListLabel 15"/>
    <w:qFormat/>
    <w:rPr>
      <w:rFonts w:cs="OpenSymbol;MS Mincho"/>
    </w:rPr>
  </w:style>
  <w:style w:type="character" w:styleId="ListLabel16">
    <w:name w:val="ListLabel 16"/>
    <w:qFormat/>
    <w:rPr>
      <w:rFonts w:cs="OpenSymbol;MS Mincho"/>
    </w:rPr>
  </w:style>
  <w:style w:type="character" w:styleId="ListLabel17">
    <w:name w:val="ListLabel 17"/>
    <w:qFormat/>
    <w:rPr>
      <w:rFonts w:cs="OpenSymbol;MS Mincho"/>
    </w:rPr>
  </w:style>
  <w:style w:type="character" w:styleId="ListLabel18">
    <w:name w:val="ListLabel 18"/>
    <w:qFormat/>
    <w:rPr>
      <w:rFonts w:cs="OpenSymbol;MS Mincho"/>
    </w:rPr>
  </w:style>
  <w:style w:type="character" w:styleId="ListLabel19">
    <w:name w:val="ListLabel 19"/>
    <w:qFormat/>
    <w:rPr>
      <w:rFonts w:cs="OpenSymbol;MS Mincho"/>
    </w:rPr>
  </w:style>
  <w:style w:type="character" w:styleId="ListLabel20">
    <w:name w:val="ListLabel 20"/>
    <w:qFormat/>
    <w:rPr>
      <w:rFonts w:cs="OpenSymbol;MS Mincho"/>
    </w:rPr>
  </w:style>
  <w:style w:type="character" w:styleId="ListLabel21">
    <w:name w:val="ListLabel 21"/>
    <w:qFormat/>
    <w:rPr>
      <w:rFonts w:cs="OpenSymbol;MS Mincho"/>
    </w:rPr>
  </w:style>
  <w:style w:type="character" w:styleId="ListLabel22">
    <w:name w:val="ListLabel 22"/>
    <w:qFormat/>
    <w:rPr>
      <w:rFonts w:cs="OpenSymbol;MS Mincho"/>
    </w:rPr>
  </w:style>
  <w:style w:type="character" w:styleId="ListLabel23">
    <w:name w:val="ListLabel 23"/>
    <w:qFormat/>
    <w:rPr>
      <w:rFonts w:cs="OpenSymbol;MS Mincho"/>
    </w:rPr>
  </w:style>
  <w:style w:type="character" w:styleId="ListLabel24">
    <w:name w:val="ListLabel 24"/>
    <w:qFormat/>
    <w:rPr>
      <w:rFonts w:cs="OpenSymbol;MS Mincho"/>
    </w:rPr>
  </w:style>
  <w:style w:type="character" w:styleId="ListLabel25">
    <w:name w:val="ListLabel 25"/>
    <w:qFormat/>
    <w:rPr>
      <w:rFonts w:cs="OpenSymbol;MS Mincho"/>
    </w:rPr>
  </w:style>
  <w:style w:type="character" w:styleId="ListLabel26">
    <w:name w:val="ListLabel 26"/>
    <w:qFormat/>
    <w:rPr>
      <w:rFonts w:cs="OpenSymbol;MS Mincho"/>
    </w:rPr>
  </w:style>
  <w:style w:type="character" w:styleId="ListLabel27">
    <w:name w:val="ListLabel 27"/>
    <w:qFormat/>
    <w:rPr>
      <w:rFonts w:cs="OpenSymbol;MS Mincho"/>
    </w:rPr>
  </w:style>
  <w:style w:type="character" w:styleId="ListLabel28">
    <w:name w:val="ListLabel 28"/>
    <w:qFormat/>
    <w:rPr>
      <w:rFonts w:cs="OpenSymbol;MS Mincho"/>
    </w:rPr>
  </w:style>
  <w:style w:type="character" w:styleId="ListLabel29">
    <w:name w:val="ListLabel 29"/>
    <w:qFormat/>
    <w:rPr>
      <w:rFonts w:cs="OpenSymbol;MS Mincho"/>
    </w:rPr>
  </w:style>
  <w:style w:type="character" w:styleId="ListLabel30">
    <w:name w:val="ListLabel 30"/>
    <w:qFormat/>
    <w:rPr>
      <w:rFonts w:cs="OpenSymbol;MS Mincho"/>
    </w:rPr>
  </w:style>
  <w:style w:type="character" w:styleId="ListLabel31">
    <w:name w:val="ListLabel 31"/>
    <w:qFormat/>
    <w:rPr>
      <w:rFonts w:cs="OpenSymbol;MS Mincho"/>
    </w:rPr>
  </w:style>
  <w:style w:type="character" w:styleId="ListLabel32">
    <w:name w:val="ListLabel 32"/>
    <w:qFormat/>
    <w:rPr>
      <w:rFonts w:cs="OpenSymbol;MS Mincho"/>
    </w:rPr>
  </w:style>
  <w:style w:type="character" w:styleId="ListLabel33">
    <w:name w:val="ListLabel 33"/>
    <w:qFormat/>
    <w:rPr>
      <w:rFonts w:cs="OpenSymbol;MS Mincho"/>
    </w:rPr>
  </w:style>
  <w:style w:type="character" w:styleId="ListLabel34">
    <w:name w:val="ListLabel 34"/>
    <w:qFormat/>
    <w:rPr>
      <w:rFonts w:cs="OpenSymbol;MS Mincho"/>
    </w:rPr>
  </w:style>
  <w:style w:type="character" w:styleId="ListLabel35">
    <w:name w:val="ListLabel 35"/>
    <w:qFormat/>
    <w:rPr>
      <w:rFonts w:cs="OpenSymbol;MS Mincho"/>
    </w:rPr>
  </w:style>
  <w:style w:type="character" w:styleId="ListLabel36">
    <w:name w:val="ListLabel 36"/>
    <w:qFormat/>
    <w:rPr>
      <w:rFonts w:cs="OpenSymbol;MS Mincho"/>
    </w:rPr>
  </w:style>
  <w:style w:type="character" w:styleId="ListLabel37">
    <w:name w:val="ListLabel 37"/>
    <w:qFormat/>
    <w:rPr>
      <w:rFonts w:cs="OpenSymbol;MS Mincho"/>
    </w:rPr>
  </w:style>
  <w:style w:type="character" w:styleId="ListLabel38">
    <w:name w:val="ListLabel 38"/>
    <w:qFormat/>
    <w:rPr>
      <w:rFonts w:cs="OpenSymbol;MS Mincho"/>
    </w:rPr>
  </w:style>
  <w:style w:type="character" w:styleId="ListLabel39">
    <w:name w:val="ListLabel 39"/>
    <w:qFormat/>
    <w:rPr>
      <w:rFonts w:cs="OpenSymbol;MS Mincho"/>
    </w:rPr>
  </w:style>
  <w:style w:type="character" w:styleId="ListLabel40">
    <w:name w:val="ListLabel 40"/>
    <w:qFormat/>
    <w:rPr>
      <w:rFonts w:cs="OpenSymbol;MS Mincho"/>
    </w:rPr>
  </w:style>
  <w:style w:type="character" w:styleId="ListLabel41">
    <w:name w:val="ListLabel 41"/>
    <w:qFormat/>
    <w:rPr>
      <w:rFonts w:cs="OpenSymbol;MS Mincho"/>
    </w:rPr>
  </w:style>
  <w:style w:type="character" w:styleId="ListLabel42">
    <w:name w:val="ListLabel 42"/>
    <w:qFormat/>
    <w:rPr>
      <w:rFonts w:cs="OpenSymbol;MS Mincho"/>
    </w:rPr>
  </w:style>
  <w:style w:type="character" w:styleId="ListLabel43">
    <w:name w:val="ListLabel 43"/>
    <w:qFormat/>
    <w:rPr>
      <w:rFonts w:cs="OpenSymbol;MS Mincho"/>
    </w:rPr>
  </w:style>
  <w:style w:type="character" w:styleId="ListLabel44">
    <w:name w:val="ListLabel 44"/>
    <w:qFormat/>
    <w:rPr>
      <w:rFonts w:cs="OpenSymbol;MS Mincho"/>
    </w:rPr>
  </w:style>
  <w:style w:type="character" w:styleId="ListLabel45">
    <w:name w:val="ListLabel 45"/>
    <w:qFormat/>
    <w:rPr>
      <w:rFonts w:cs="OpenSymbol;MS Mincho"/>
    </w:rPr>
  </w:style>
  <w:style w:type="character" w:styleId="ListLabel46">
    <w:name w:val="ListLabel 46"/>
    <w:qFormat/>
    <w:rPr>
      <w:rFonts w:cs="OpenSymbol;MS Mincho"/>
    </w:rPr>
  </w:style>
  <w:style w:type="character" w:styleId="ListLabel47">
    <w:name w:val="ListLabel 47"/>
    <w:qFormat/>
    <w:rPr>
      <w:rFonts w:cs="OpenSymbol;MS Mincho"/>
    </w:rPr>
  </w:style>
  <w:style w:type="character" w:styleId="ListLabel48">
    <w:name w:val="ListLabel 48"/>
    <w:qFormat/>
    <w:rPr>
      <w:rFonts w:cs="OpenSymbol;MS Mincho"/>
    </w:rPr>
  </w:style>
  <w:style w:type="character" w:styleId="ListLabel49">
    <w:name w:val="ListLabel 49"/>
    <w:qFormat/>
    <w:rPr>
      <w:rFonts w:cs="OpenSymbol;MS Mincho"/>
    </w:rPr>
  </w:style>
  <w:style w:type="character" w:styleId="ListLabel50">
    <w:name w:val="ListLabel 50"/>
    <w:qFormat/>
    <w:rPr>
      <w:rFonts w:cs="OpenSymbol;MS Mincho"/>
    </w:rPr>
  </w:style>
  <w:style w:type="character" w:styleId="ListLabel51">
    <w:name w:val="ListLabel 51"/>
    <w:qFormat/>
    <w:rPr>
      <w:rFonts w:cs="OpenSymbol;MS Mincho"/>
    </w:rPr>
  </w:style>
  <w:style w:type="character" w:styleId="ListLabel52">
    <w:name w:val="ListLabel 52"/>
    <w:qFormat/>
    <w:rPr>
      <w:rFonts w:cs="OpenSymbol;MS Mincho"/>
    </w:rPr>
  </w:style>
  <w:style w:type="character" w:styleId="ListLabel53">
    <w:name w:val="ListLabel 53"/>
    <w:qFormat/>
    <w:rPr>
      <w:rFonts w:cs="OpenSymbol;MS Mincho"/>
    </w:rPr>
  </w:style>
  <w:style w:type="character" w:styleId="ListLabel54">
    <w:name w:val="ListLabel 54"/>
    <w:qFormat/>
    <w:rPr>
      <w:rFonts w:cs="OpenSymbol;MS Mincho"/>
    </w:rPr>
  </w:style>
  <w:style w:type="character" w:styleId="ListLabel55">
    <w:name w:val="ListLabel 55"/>
    <w:qFormat/>
    <w:rPr>
      <w:rFonts w:cs="OpenSymbol;MS Mincho"/>
    </w:rPr>
  </w:style>
  <w:style w:type="character" w:styleId="ListLabel56">
    <w:name w:val="ListLabel 56"/>
    <w:qFormat/>
    <w:rPr>
      <w:rFonts w:cs="OpenSymbol;MS Mincho"/>
    </w:rPr>
  </w:style>
  <w:style w:type="character" w:styleId="ListLabel57">
    <w:name w:val="ListLabel 57"/>
    <w:qFormat/>
    <w:rPr>
      <w:rFonts w:cs="OpenSymbol;MS Mincho"/>
    </w:rPr>
  </w:style>
  <w:style w:type="character" w:styleId="ListLabel58">
    <w:name w:val="ListLabel 58"/>
    <w:qFormat/>
    <w:rPr>
      <w:rFonts w:cs="OpenSymbol;MS Mincho"/>
    </w:rPr>
  </w:style>
  <w:style w:type="character" w:styleId="ListLabel59">
    <w:name w:val="ListLabel 59"/>
    <w:qFormat/>
    <w:rPr>
      <w:rFonts w:cs="OpenSymbol;MS Mincho"/>
    </w:rPr>
  </w:style>
  <w:style w:type="character" w:styleId="ListLabel60">
    <w:name w:val="ListLabel 60"/>
    <w:qFormat/>
    <w:rPr>
      <w:rFonts w:cs="OpenSymbol;MS Mincho"/>
    </w:rPr>
  </w:style>
  <w:style w:type="character" w:styleId="ListLabel61">
    <w:name w:val="ListLabel 61"/>
    <w:qFormat/>
    <w:rPr>
      <w:rFonts w:cs="OpenSymbol;MS Mincho"/>
    </w:rPr>
  </w:style>
  <w:style w:type="character" w:styleId="ListLabel62">
    <w:name w:val="ListLabel 62"/>
    <w:qFormat/>
    <w:rPr>
      <w:rFonts w:cs="OpenSymbol;MS Mincho"/>
    </w:rPr>
  </w:style>
  <w:style w:type="character" w:styleId="ListLabel63">
    <w:name w:val="ListLabel 63"/>
    <w:qFormat/>
    <w:rPr>
      <w:rFonts w:cs="OpenSymbol;MS Mincho"/>
    </w:rPr>
  </w:style>
  <w:style w:type="character" w:styleId="ListLabel64">
    <w:name w:val="ListLabel 64"/>
    <w:qFormat/>
    <w:rPr>
      <w:rFonts w:cs="OpenSymbol;MS Mincho"/>
    </w:rPr>
  </w:style>
  <w:style w:type="character" w:styleId="ListLabel65">
    <w:name w:val="ListLabel 65"/>
    <w:qFormat/>
    <w:rPr>
      <w:rFonts w:cs="OpenSymbol;MS Mincho"/>
    </w:rPr>
  </w:style>
  <w:style w:type="character" w:styleId="ListLabel66">
    <w:name w:val="ListLabel 66"/>
    <w:qFormat/>
    <w:rPr>
      <w:rFonts w:cs="OpenSymbol;MS Mincho"/>
    </w:rPr>
  </w:style>
  <w:style w:type="character" w:styleId="ListLabel67">
    <w:name w:val="ListLabel 67"/>
    <w:qFormat/>
    <w:rPr>
      <w:rFonts w:cs="OpenSymbol;MS Mincho"/>
    </w:rPr>
  </w:style>
  <w:style w:type="character" w:styleId="ListLabel68">
    <w:name w:val="ListLabel 68"/>
    <w:qFormat/>
    <w:rPr>
      <w:rFonts w:cs="OpenSymbol;MS Mincho"/>
    </w:rPr>
  </w:style>
  <w:style w:type="character" w:styleId="ListLabel69">
    <w:name w:val="ListLabel 69"/>
    <w:qFormat/>
    <w:rPr>
      <w:rFonts w:cs="OpenSymbol;MS Mincho"/>
    </w:rPr>
  </w:style>
  <w:style w:type="character" w:styleId="ListLabel70">
    <w:name w:val="ListLabel 70"/>
    <w:qFormat/>
    <w:rPr>
      <w:rFonts w:cs="OpenSymbol;MS Mincho"/>
    </w:rPr>
  </w:style>
  <w:style w:type="character" w:styleId="ListLabel71">
    <w:name w:val="ListLabel 71"/>
    <w:qFormat/>
    <w:rPr>
      <w:rFonts w:cs="OpenSymbol;MS Mincho"/>
    </w:rPr>
  </w:style>
  <w:style w:type="character" w:styleId="ListLabel72">
    <w:name w:val="ListLabel 72"/>
    <w:qFormat/>
    <w:rPr>
      <w:rFonts w:cs="OpenSymbol;MS Mincho"/>
    </w:rPr>
  </w:style>
  <w:style w:type="character" w:styleId="ListLabel73">
    <w:name w:val="ListLabel 73"/>
    <w:qFormat/>
    <w:rPr>
      <w:rFonts w:cs="OpenSymbol;MS Mincho"/>
    </w:rPr>
  </w:style>
  <w:style w:type="character" w:styleId="ListLabel74">
    <w:name w:val="ListLabel 74"/>
    <w:qFormat/>
    <w:rPr>
      <w:rFonts w:cs="OpenSymbol;MS Mincho"/>
    </w:rPr>
  </w:style>
  <w:style w:type="character" w:styleId="ListLabel75">
    <w:name w:val="ListLabel 75"/>
    <w:qFormat/>
    <w:rPr>
      <w:rFonts w:cs="OpenSymbol;MS Mincho"/>
    </w:rPr>
  </w:style>
  <w:style w:type="character" w:styleId="ListLabel76">
    <w:name w:val="ListLabel 76"/>
    <w:qFormat/>
    <w:rPr>
      <w:rFonts w:cs="OpenSymbol;MS Mincho"/>
    </w:rPr>
  </w:style>
  <w:style w:type="character" w:styleId="ListLabel77">
    <w:name w:val="ListLabel 77"/>
    <w:qFormat/>
    <w:rPr>
      <w:rFonts w:cs="OpenSymbol;MS Mincho"/>
    </w:rPr>
  </w:style>
  <w:style w:type="character" w:styleId="ListLabel78">
    <w:name w:val="ListLabel 78"/>
    <w:qFormat/>
    <w:rPr>
      <w:rFonts w:cs="OpenSymbol;MS Mincho"/>
    </w:rPr>
  </w:style>
  <w:style w:type="character" w:styleId="ListLabel79">
    <w:name w:val="ListLabel 79"/>
    <w:qFormat/>
    <w:rPr>
      <w:rFonts w:cs="OpenSymbol;MS Mincho"/>
    </w:rPr>
  </w:style>
  <w:style w:type="character" w:styleId="ListLabel80">
    <w:name w:val="ListLabel 80"/>
    <w:qFormat/>
    <w:rPr>
      <w:rFonts w:cs="OpenSymbol;MS Mincho"/>
    </w:rPr>
  </w:style>
  <w:style w:type="character" w:styleId="ListLabel81">
    <w:name w:val="ListLabel 81"/>
    <w:qFormat/>
    <w:rPr>
      <w:rFonts w:cs="OpenSymbol;MS Mincho"/>
    </w:rPr>
  </w:style>
  <w:style w:type="character" w:styleId="ListLabel82">
    <w:name w:val="ListLabel 82"/>
    <w:qFormat/>
    <w:rPr>
      <w:rFonts w:cs="OpenSymbol;MS Mincho"/>
    </w:rPr>
  </w:style>
  <w:style w:type="character" w:styleId="ListLabel83">
    <w:name w:val="ListLabel 83"/>
    <w:qFormat/>
    <w:rPr>
      <w:rFonts w:cs="OpenSymbol;MS Mincho"/>
    </w:rPr>
  </w:style>
  <w:style w:type="character" w:styleId="ListLabel84">
    <w:name w:val="ListLabel 84"/>
    <w:qFormat/>
    <w:rPr>
      <w:rFonts w:cs="OpenSymbol;MS Mincho"/>
    </w:rPr>
  </w:style>
  <w:style w:type="character" w:styleId="ListLabel85">
    <w:name w:val="ListLabel 85"/>
    <w:qFormat/>
    <w:rPr>
      <w:rFonts w:cs="OpenSymbol;MS Mincho"/>
    </w:rPr>
  </w:style>
  <w:style w:type="character" w:styleId="ListLabel86">
    <w:name w:val="ListLabel 86"/>
    <w:qFormat/>
    <w:rPr>
      <w:rFonts w:cs="OpenSymbol;MS Mincho"/>
    </w:rPr>
  </w:style>
  <w:style w:type="character" w:styleId="ListLabel87">
    <w:name w:val="ListLabel 87"/>
    <w:qFormat/>
    <w:rPr>
      <w:rFonts w:cs="OpenSymbol;MS Mincho"/>
    </w:rPr>
  </w:style>
  <w:style w:type="character" w:styleId="ListLabel88">
    <w:name w:val="ListLabel 88"/>
    <w:qFormat/>
    <w:rPr>
      <w:rFonts w:cs="OpenSymbol;MS Mincho"/>
    </w:rPr>
  </w:style>
  <w:style w:type="character" w:styleId="ListLabel89">
    <w:name w:val="ListLabel 89"/>
    <w:qFormat/>
    <w:rPr>
      <w:rFonts w:cs="OpenSymbol;MS Mincho"/>
    </w:rPr>
  </w:style>
  <w:style w:type="character" w:styleId="ListLabel90">
    <w:name w:val="ListLabel 90"/>
    <w:qFormat/>
    <w:rPr>
      <w:rFonts w:cs="OpenSymbol;MS Mincho"/>
    </w:rPr>
  </w:style>
  <w:style w:type="character" w:styleId="ListLabel91">
    <w:name w:val="ListLabel 91"/>
    <w:qFormat/>
    <w:rPr>
      <w:rFonts w:cs="OpenSymbol;MS Mincho"/>
    </w:rPr>
  </w:style>
  <w:style w:type="character" w:styleId="ListLabel92">
    <w:name w:val="ListLabel 92"/>
    <w:qFormat/>
    <w:rPr>
      <w:rFonts w:cs="OpenSymbol;MS Mincho"/>
    </w:rPr>
  </w:style>
  <w:style w:type="character" w:styleId="ListLabel93">
    <w:name w:val="ListLabel 93"/>
    <w:qFormat/>
    <w:rPr>
      <w:rFonts w:cs="OpenSymbol;MS Mincho"/>
    </w:rPr>
  </w:style>
  <w:style w:type="character" w:styleId="ListLabel94">
    <w:name w:val="ListLabel 94"/>
    <w:qFormat/>
    <w:rPr>
      <w:rFonts w:cs="OpenSymbol;MS Mincho"/>
    </w:rPr>
  </w:style>
  <w:style w:type="character" w:styleId="ListLabel95">
    <w:name w:val="ListLabel 95"/>
    <w:qFormat/>
    <w:rPr>
      <w:rFonts w:cs="OpenSymbol;MS Mincho"/>
    </w:rPr>
  </w:style>
  <w:style w:type="character" w:styleId="ListLabel96">
    <w:name w:val="ListLabel 96"/>
    <w:qFormat/>
    <w:rPr>
      <w:rFonts w:cs="OpenSymbol;MS Mincho"/>
    </w:rPr>
  </w:style>
  <w:style w:type="character" w:styleId="ListLabel97">
    <w:name w:val="ListLabel 97"/>
    <w:qFormat/>
    <w:rPr>
      <w:rFonts w:cs="OpenSymbol;MS Mincho"/>
    </w:rPr>
  </w:style>
  <w:style w:type="character" w:styleId="ListLabel98">
    <w:name w:val="ListLabel 98"/>
    <w:qFormat/>
    <w:rPr>
      <w:rFonts w:cs="OpenSymbol;MS Mincho"/>
    </w:rPr>
  </w:style>
  <w:style w:type="character" w:styleId="ListLabel99">
    <w:name w:val="ListLabel 99"/>
    <w:qFormat/>
    <w:rPr>
      <w:rFonts w:cs="OpenSymbol;MS Mincho"/>
    </w:rPr>
  </w:style>
  <w:style w:type="character" w:styleId="ListLabel100">
    <w:name w:val="ListLabel 100"/>
    <w:qFormat/>
    <w:rPr>
      <w:rFonts w:cs="OpenSymbol;MS Mincho"/>
    </w:rPr>
  </w:style>
  <w:style w:type="character" w:styleId="ListLabel101">
    <w:name w:val="ListLabel 101"/>
    <w:qFormat/>
    <w:rPr>
      <w:rFonts w:cs="OpenSymbol;MS Mincho"/>
    </w:rPr>
  </w:style>
  <w:style w:type="character" w:styleId="ListLabel102">
    <w:name w:val="ListLabel 102"/>
    <w:qFormat/>
    <w:rPr>
      <w:rFonts w:cs="OpenSymbol;MS Mincho"/>
    </w:rPr>
  </w:style>
  <w:style w:type="character" w:styleId="ListLabel103">
    <w:name w:val="ListLabel 103"/>
    <w:qFormat/>
    <w:rPr>
      <w:rFonts w:cs="OpenSymbol;MS Mincho"/>
    </w:rPr>
  </w:style>
  <w:style w:type="character" w:styleId="ListLabel104">
    <w:name w:val="ListLabel 104"/>
    <w:qFormat/>
    <w:rPr>
      <w:rFonts w:cs="OpenSymbol;MS Mincho"/>
    </w:rPr>
  </w:style>
  <w:style w:type="character" w:styleId="ListLabel105">
    <w:name w:val="ListLabel 105"/>
    <w:qFormat/>
    <w:rPr>
      <w:rFonts w:cs="OpenSymbol;MS Mincho"/>
    </w:rPr>
  </w:style>
  <w:style w:type="character" w:styleId="ListLabel106">
    <w:name w:val="ListLabel 106"/>
    <w:qFormat/>
    <w:rPr>
      <w:rFonts w:cs="OpenSymbol;MS Mincho"/>
    </w:rPr>
  </w:style>
  <w:style w:type="character" w:styleId="ListLabel107">
    <w:name w:val="ListLabel 107"/>
    <w:qFormat/>
    <w:rPr>
      <w:rFonts w:cs="OpenSymbol;MS Mincho"/>
    </w:rPr>
  </w:style>
  <w:style w:type="character" w:styleId="ListLabel108">
    <w:name w:val="ListLabel 108"/>
    <w:qFormat/>
    <w:rPr>
      <w:rFonts w:cs="OpenSymbol;MS Mincho"/>
    </w:rPr>
  </w:style>
  <w:style w:type="paragraph" w:styleId="Titre">
    <w:name w:val="Titre"/>
    <w:basedOn w:val="Normal"/>
    <w:next w:val="Corpsdetexte"/>
    <w:qFormat/>
    <w:pPr>
      <w:keepNext/>
      <w:spacing w:before="240" w:after="120"/>
    </w:pPr>
    <w:rPr>
      <w:rFonts w:ascii="Arial" w:hAnsi="Arial" w:eastAsia="WenQuanYi Micro Hei"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itre11">
    <w:name w:val="Titre1"/>
    <w:basedOn w:val="Normal"/>
    <w:qFormat/>
    <w:pPr>
      <w:keepNext/>
      <w:spacing w:before="240" w:after="120"/>
    </w:pPr>
    <w:rPr>
      <w:rFonts w:ascii="Arial" w:hAnsi="Arial" w:eastAsia="WenQuanYi Micro Hei;MS Mincho" w:cs="Lohit Hindi"/>
      <w:sz w:val="28"/>
      <w:szCs w:val="28"/>
    </w:rPr>
  </w:style>
  <w:style w:type="paragraph" w:styleId="Notedebasdepage">
    <w:name w:val="Footnote Text"/>
    <w:basedOn w:val="Normal"/>
    <w:pPr>
      <w:suppressLineNumbers/>
      <w:spacing w:before="0" w:after="0"/>
      <w:ind w:left="339" w:right="0" w:hanging="339"/>
    </w:pPr>
    <w:rPr>
      <w:sz w:val="20"/>
      <w:szCs w:val="20"/>
    </w:rPr>
  </w:style>
  <w:style w:type="paragraph" w:styleId="Pieddepage">
    <w:name w:val="Footer"/>
    <w:basedOn w:val="Normal"/>
    <w:pPr>
      <w:suppressLineNumbers/>
      <w:tabs>
        <w:tab w:val="center" w:pos="4819" w:leader="none"/>
        <w:tab w:val="right" w:pos="9638" w:leader="none"/>
      </w:tabs>
    </w:pPr>
    <w:rPr/>
  </w:style>
  <w:style w:type="paragraph" w:styleId="Entte">
    <w:name w:val="Header"/>
    <w:basedOn w:val="Normal"/>
    <w:pPr>
      <w:suppressLineNumbers/>
      <w:tabs>
        <w:tab w:val="center" w:pos="4819" w:leader="none"/>
        <w:tab w:val="right" w:pos="9638" w:leader="none"/>
      </w:tabs>
    </w:pPr>
    <w:rPr/>
  </w:style>
  <w:style w:type="paragraph" w:styleId="DefaultText">
    <w:name w:val="Default Text"/>
    <w:basedOn w:val="Normal"/>
    <w:qFormat/>
    <w:pPr>
      <w:spacing w:lineRule="atLeast" w:line="100" w:before="0" w:after="0"/>
    </w:pPr>
    <w:rPr>
      <w:sz w:val="24"/>
      <w:szCs w:val="24"/>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widowControl/>
      <w:suppressAutoHyphens w:val="false"/>
      <w:spacing w:before="100" w:after="100"/>
    </w:pPr>
    <w:rPr>
      <w:rFonts w:eastAsia="Times New Roman" w:cs="Times New Roman"/>
      <w:lang w:bidi="ar-SA"/>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fce.sciences/"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blanchard@univ-perp.fr" TargetMode="External"/><Relationship Id="rId2" Type="http://schemas.openxmlformats.org/officeDocument/2006/relationships/hyperlink" Target="mailto:yp-coleno@wanadoo.fr" TargetMode="External"/>
</Relationships>
</file>

<file path=docProps/app.xml><?xml version="1.0" encoding="utf-8"?>
<Properties xmlns="http://schemas.openxmlformats.org/officeDocument/2006/extended-properties" xmlns:vt="http://schemas.openxmlformats.org/officeDocument/2006/docPropsVTypes">
  <Template/>
  <TotalTime>779</TotalTime>
  <Application>LibreOffice/5.1.6.2$Linux_X86_64 LibreOffice_project/10m0$Build-2</Application>
  <Pages>21</Pages>
  <Words>12908</Words>
  <Characters>68712</Characters>
  <CharactersWithSpaces>81415</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2016-07-18T12:15:00Z</dcterms:created>
  <dc:creator>Yves-Patrick </dc:creator>
  <dc:description/>
  <dc:language>en-GB</dc:language>
  <cp:lastModifiedBy/>
  <cp:lastPrinted>2016-07-13T17:14:00Z</cp:lastPrinted>
  <dcterms:modified xsi:type="dcterms:W3CDTF">2017-05-24T11:18:32Z</dcterms:modified>
  <cp:revision>88</cp:revision>
  <dc:subject/>
  <dc:title>Une crise économique aujourd'hui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